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48C6" w14:textId="36BCB30F" w:rsidR="00164216" w:rsidRDefault="000F7DA6" w:rsidP="00C009D1">
      <w:pPr>
        <w:shd w:val="clear" w:color="auto" w:fill="FFFFFF" w:themeFill="background1"/>
        <w:rPr>
          <w:b/>
          <w:bCs/>
          <w:color w:val="0E2841" w:themeColor="text2"/>
          <w:sz w:val="32"/>
          <w:szCs w:val="32"/>
          <w:u w:val="single"/>
        </w:rPr>
      </w:pPr>
      <w:r>
        <w:rPr>
          <w:b/>
          <w:bCs/>
          <w:color w:val="0E2841" w:themeColor="text2"/>
          <w:sz w:val="32"/>
          <w:szCs w:val="32"/>
          <w:u w:val="single"/>
        </w:rPr>
        <w:t xml:space="preserve">                                                                                        </w:t>
      </w:r>
      <w:r w:rsidR="005E18FE">
        <w:rPr>
          <w:b/>
          <w:bCs/>
          <w:color w:val="0E2841" w:themeColor="text2"/>
          <w:sz w:val="32"/>
          <w:szCs w:val="32"/>
          <w:u w:val="single"/>
        </w:rPr>
        <w:t xml:space="preserve"> </w:t>
      </w:r>
      <w:r w:rsidR="005E18FE" w:rsidRPr="005E18FE">
        <w:rPr>
          <w:b/>
          <w:bCs/>
          <w:noProof/>
          <w:color w:val="0E2841" w:themeColor="text2"/>
          <w:sz w:val="32"/>
          <w:szCs w:val="32"/>
          <w:u w:val="single"/>
        </w:rPr>
        <w:drawing>
          <wp:inline distT="0" distB="0" distL="0" distR="0" wp14:anchorId="2D730D53" wp14:editId="680CA76B">
            <wp:extent cx="1971675" cy="790575"/>
            <wp:effectExtent l="0" t="0" r="9525" b="9525"/>
            <wp:docPr id="14" name="Picture 13" descr="NHS blue and white logo">
              <a:extLst xmlns:a="http://schemas.openxmlformats.org/drawingml/2006/main">
                <a:ext uri="{FF2B5EF4-FFF2-40B4-BE49-F238E27FC236}">
                  <a16:creationId xmlns:a16="http://schemas.microsoft.com/office/drawing/2014/main" id="{1D9F916D-3CAF-2CAF-C063-F3CB76BE4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NHS blue and white logo">
                      <a:extLst>
                        <a:ext uri="{FF2B5EF4-FFF2-40B4-BE49-F238E27FC236}">
                          <a16:creationId xmlns:a16="http://schemas.microsoft.com/office/drawing/2014/main" id="{1D9F916D-3CAF-2CAF-C063-F3CB76BE424A}"/>
                        </a:ext>
                      </a:extLst>
                    </pic:cNvPr>
                    <pic:cNvPicPr>
                      <a:picLocks noChangeAspect="1"/>
                    </pic:cNvPicPr>
                  </pic:nvPicPr>
                  <pic:blipFill>
                    <a:blip r:embed="rId5"/>
                    <a:stretch>
                      <a:fillRect/>
                    </a:stretch>
                  </pic:blipFill>
                  <pic:spPr>
                    <a:xfrm>
                      <a:off x="0" y="0"/>
                      <a:ext cx="1972244" cy="790803"/>
                    </a:xfrm>
                    <a:prstGeom prst="rect">
                      <a:avLst/>
                    </a:prstGeom>
                  </pic:spPr>
                </pic:pic>
              </a:graphicData>
            </a:graphic>
          </wp:inline>
        </w:drawing>
      </w:r>
    </w:p>
    <w:p w14:paraId="6166330F" w14:textId="3FAF3379" w:rsidR="00E35155" w:rsidRPr="00C37BC0" w:rsidRDefault="007C4C61" w:rsidP="00C009D1">
      <w:pPr>
        <w:shd w:val="clear" w:color="auto" w:fill="DAE9F7" w:themeFill="text2" w:themeFillTint="1A"/>
        <w:jc w:val="center"/>
        <w:rPr>
          <w:b/>
          <w:bCs/>
          <w:color w:val="0E2841" w:themeColor="text2"/>
          <w:sz w:val="40"/>
          <w:szCs w:val="40"/>
        </w:rPr>
      </w:pPr>
      <w:r w:rsidRPr="00C37BC0">
        <w:rPr>
          <w:b/>
          <w:bCs/>
          <w:color w:val="0E2841" w:themeColor="text2"/>
          <w:sz w:val="40"/>
          <w:szCs w:val="40"/>
        </w:rPr>
        <w:t>Strategies</w:t>
      </w:r>
      <w:r w:rsidR="007477A5" w:rsidRPr="00C37BC0">
        <w:rPr>
          <w:b/>
          <w:bCs/>
          <w:color w:val="0E2841" w:themeColor="text2"/>
          <w:sz w:val="40"/>
          <w:szCs w:val="40"/>
        </w:rPr>
        <w:t xml:space="preserve"> for Autism</w:t>
      </w:r>
      <w:r w:rsidRPr="00C37BC0">
        <w:rPr>
          <w:b/>
          <w:bCs/>
          <w:color w:val="0E2841" w:themeColor="text2"/>
          <w:sz w:val="40"/>
          <w:szCs w:val="40"/>
        </w:rPr>
        <w:t xml:space="preserve"> that can help with communication, anxiety, and challenging behaviour</w:t>
      </w:r>
    </w:p>
    <w:p w14:paraId="22CDB2C4" w14:textId="02FCE846" w:rsidR="007C4C61" w:rsidRPr="00E35155" w:rsidRDefault="007C4C61" w:rsidP="007C4C61">
      <w:pPr>
        <w:rPr>
          <w:sz w:val="28"/>
          <w:szCs w:val="28"/>
        </w:rPr>
      </w:pPr>
      <w:r w:rsidRPr="00E35155">
        <w:rPr>
          <w:sz w:val="28"/>
          <w:szCs w:val="28"/>
        </w:rPr>
        <w:t xml:space="preserve">Autistic children and young people can be helped by others making changes to the social and physical environment around them and through others supporting them to learn new ways of coping. Making even small changes might initially increase your child’s level of anxiety so you might see an increase in challenging behaviour. It will usually be best to only introduce one change at a time and wait for the initial level of anxiety to reduce before adding a new change. You can try the following strategies: </w:t>
      </w:r>
    </w:p>
    <w:p w14:paraId="484FD34F" w14:textId="77777777" w:rsidR="007C4C61" w:rsidRPr="00E35155" w:rsidRDefault="007C4C61" w:rsidP="007C4C61">
      <w:pPr>
        <w:rPr>
          <w:sz w:val="28"/>
          <w:szCs w:val="28"/>
        </w:rPr>
      </w:pPr>
      <w:r w:rsidRPr="00E35155">
        <w:rPr>
          <w:b/>
          <w:bCs/>
          <w:sz w:val="28"/>
          <w:szCs w:val="28"/>
        </w:rPr>
        <w:t>1.</w:t>
      </w:r>
      <w:r w:rsidRPr="00E35155">
        <w:rPr>
          <w:sz w:val="28"/>
          <w:szCs w:val="28"/>
        </w:rPr>
        <w:t xml:space="preserve"> Try to provide structure and routine for your child (e.g. by introducing a visual timetable). This should make day-to-day life more predictable for them and reduce anxiety. </w:t>
      </w:r>
    </w:p>
    <w:p w14:paraId="396A49D4" w14:textId="77777777" w:rsidR="007C4C61" w:rsidRPr="00E35155" w:rsidRDefault="007C4C61" w:rsidP="007C4C61">
      <w:pPr>
        <w:rPr>
          <w:sz w:val="28"/>
          <w:szCs w:val="28"/>
        </w:rPr>
      </w:pPr>
      <w:r w:rsidRPr="00E35155">
        <w:rPr>
          <w:b/>
          <w:bCs/>
          <w:sz w:val="28"/>
          <w:szCs w:val="28"/>
        </w:rPr>
        <w:t>2.</w:t>
      </w:r>
      <w:r w:rsidRPr="00E35155">
        <w:rPr>
          <w:sz w:val="28"/>
          <w:szCs w:val="28"/>
        </w:rPr>
        <w:t xml:space="preserve"> Prepare your child for changes and transitions. Some autistic people need a lot of advanced warning about (major or minor) changes and transitions, others benefit more when they are told about changes or transitions only a short time in advance. You will need to work out what suits your child best. </w:t>
      </w:r>
    </w:p>
    <w:p w14:paraId="3D9F1279" w14:textId="77777777" w:rsidR="007C4C61" w:rsidRPr="00E35155" w:rsidRDefault="007C4C61" w:rsidP="007C4C61">
      <w:pPr>
        <w:rPr>
          <w:sz w:val="28"/>
          <w:szCs w:val="28"/>
        </w:rPr>
      </w:pPr>
      <w:r w:rsidRPr="00E35155">
        <w:rPr>
          <w:b/>
          <w:bCs/>
          <w:sz w:val="28"/>
          <w:szCs w:val="28"/>
        </w:rPr>
        <w:t>3.</w:t>
      </w:r>
      <w:r w:rsidRPr="00E35155">
        <w:rPr>
          <w:sz w:val="28"/>
          <w:szCs w:val="28"/>
        </w:rPr>
        <w:t xml:space="preserve"> Provide ‘bridging activities’ (activities that distract or motivate the young person before during and immediately after a transition) at times of transition (e.g. on the journey to or from school). </w:t>
      </w:r>
    </w:p>
    <w:p w14:paraId="32A457D6" w14:textId="391F2353" w:rsidR="007C4C61" w:rsidRPr="00E35155" w:rsidRDefault="007C4C61" w:rsidP="007C4C61">
      <w:pPr>
        <w:rPr>
          <w:sz w:val="28"/>
          <w:szCs w:val="28"/>
        </w:rPr>
      </w:pPr>
      <w:r w:rsidRPr="00E35155">
        <w:rPr>
          <w:b/>
          <w:bCs/>
          <w:sz w:val="28"/>
          <w:szCs w:val="28"/>
        </w:rPr>
        <w:t>4.</w:t>
      </w:r>
      <w:r w:rsidRPr="00E35155">
        <w:rPr>
          <w:sz w:val="28"/>
          <w:szCs w:val="28"/>
        </w:rPr>
        <w:t xml:space="preserve"> Make sure that your child has regular breaks built into their day. They might need time on their own or to spend time engaging in a special interest to recharge their batteries and reduce anxiety.</w:t>
      </w:r>
    </w:p>
    <w:p w14:paraId="65CA83E2" w14:textId="77777777" w:rsidR="007C4C61" w:rsidRPr="00E35155" w:rsidRDefault="007C4C61" w:rsidP="007C4C61">
      <w:pPr>
        <w:rPr>
          <w:sz w:val="28"/>
          <w:szCs w:val="28"/>
        </w:rPr>
      </w:pPr>
      <w:r w:rsidRPr="00E35155">
        <w:rPr>
          <w:b/>
          <w:bCs/>
          <w:sz w:val="28"/>
          <w:szCs w:val="28"/>
        </w:rPr>
        <w:t>5.</w:t>
      </w:r>
      <w:r w:rsidRPr="00E35155">
        <w:rPr>
          <w:sz w:val="28"/>
          <w:szCs w:val="28"/>
        </w:rPr>
        <w:t xml:space="preserve"> Support the young person to understand instructions or rules by providing pictures or photographs (e.g. on a mobile phone or iPad). Examples might include using: </w:t>
      </w:r>
    </w:p>
    <w:p w14:paraId="7E59FD35" w14:textId="2566DAE6" w:rsidR="007C4C61" w:rsidRPr="00E35155" w:rsidRDefault="007C4C61" w:rsidP="007C4C61">
      <w:pPr>
        <w:numPr>
          <w:ilvl w:val="0"/>
          <w:numId w:val="1"/>
        </w:numPr>
        <w:rPr>
          <w:sz w:val="28"/>
          <w:szCs w:val="28"/>
        </w:rPr>
      </w:pPr>
      <w:r w:rsidRPr="00E35155">
        <w:rPr>
          <w:sz w:val="28"/>
          <w:szCs w:val="28"/>
        </w:rPr>
        <w:t xml:space="preserve">A timer to help the young person wait </w:t>
      </w:r>
    </w:p>
    <w:p w14:paraId="3F05DF5B" w14:textId="59875023" w:rsidR="007C4C61" w:rsidRPr="00E35155" w:rsidRDefault="007C4C61" w:rsidP="007C4C61">
      <w:pPr>
        <w:numPr>
          <w:ilvl w:val="0"/>
          <w:numId w:val="1"/>
        </w:numPr>
        <w:rPr>
          <w:sz w:val="28"/>
          <w:szCs w:val="28"/>
        </w:rPr>
      </w:pPr>
      <w:r w:rsidRPr="00E35155">
        <w:rPr>
          <w:sz w:val="28"/>
          <w:szCs w:val="28"/>
        </w:rPr>
        <w:lastRenderedPageBreak/>
        <w:t xml:space="preserve">‘Now and next’ cards </w:t>
      </w:r>
    </w:p>
    <w:p w14:paraId="1524C457" w14:textId="1BF024BB" w:rsidR="007C4C61" w:rsidRPr="00E35155" w:rsidRDefault="007C4C61" w:rsidP="007C4C61">
      <w:pPr>
        <w:numPr>
          <w:ilvl w:val="0"/>
          <w:numId w:val="1"/>
        </w:numPr>
        <w:rPr>
          <w:sz w:val="28"/>
          <w:szCs w:val="28"/>
        </w:rPr>
      </w:pPr>
      <w:r w:rsidRPr="00E35155">
        <w:rPr>
          <w:sz w:val="28"/>
          <w:szCs w:val="28"/>
        </w:rPr>
        <w:t xml:space="preserve">Visual timetable or calendar. </w:t>
      </w:r>
    </w:p>
    <w:p w14:paraId="3E8D01CA" w14:textId="77777777" w:rsidR="007C4C61" w:rsidRPr="00E35155" w:rsidRDefault="007C4C61" w:rsidP="007C4C61">
      <w:pPr>
        <w:rPr>
          <w:sz w:val="28"/>
          <w:szCs w:val="28"/>
        </w:rPr>
      </w:pPr>
      <w:r w:rsidRPr="00E35155">
        <w:rPr>
          <w:b/>
          <w:bCs/>
          <w:sz w:val="28"/>
          <w:szCs w:val="28"/>
        </w:rPr>
        <w:t>6.</w:t>
      </w:r>
      <w:r w:rsidRPr="00E35155">
        <w:rPr>
          <w:sz w:val="28"/>
          <w:szCs w:val="28"/>
        </w:rPr>
        <w:t xml:space="preserve"> Talk about positives rather than focusing on negatives. For example, tell them what to DO rather than what </w:t>
      </w:r>
      <w:r w:rsidRPr="00E35155">
        <w:rPr>
          <w:i/>
          <w:iCs/>
          <w:sz w:val="28"/>
          <w:szCs w:val="28"/>
        </w:rPr>
        <w:t xml:space="preserve">not </w:t>
      </w:r>
      <w:r w:rsidRPr="00E35155">
        <w:rPr>
          <w:sz w:val="28"/>
          <w:szCs w:val="28"/>
        </w:rPr>
        <w:t xml:space="preserve">to do; for example, rather than saying “Don’t stand so close to me.”, try “Can you show me good personal space? Well, done!”. This way, the focus is on how to improve, and the child gets positive reinforcement. </w:t>
      </w:r>
    </w:p>
    <w:p w14:paraId="428A8776" w14:textId="77777777" w:rsidR="007C4C61" w:rsidRPr="00E35155" w:rsidRDefault="007C4C61" w:rsidP="007C4C61">
      <w:pPr>
        <w:rPr>
          <w:sz w:val="28"/>
          <w:szCs w:val="28"/>
        </w:rPr>
      </w:pPr>
      <w:r w:rsidRPr="00E35155">
        <w:rPr>
          <w:b/>
          <w:bCs/>
          <w:sz w:val="28"/>
          <w:szCs w:val="28"/>
        </w:rPr>
        <w:t>7.</w:t>
      </w:r>
      <w:r w:rsidRPr="00E35155">
        <w:rPr>
          <w:sz w:val="28"/>
          <w:szCs w:val="28"/>
        </w:rPr>
        <w:t xml:space="preserve"> Use short simple sentences, repeat if needed, and allow time for them to process what you have said. You can also use a ‘talking stick’ for this so that the young person can hold the stick whilst processing and put it down to signal that they have processed and are ready to continue. It’s important to remember that this isn’t the same as babytalk. Many autistic people have excellent vocabularies but struggle with processing what they hear, so it is best to use a normal tone, but just simpler sentences. </w:t>
      </w:r>
    </w:p>
    <w:p w14:paraId="577B94FB" w14:textId="77777777" w:rsidR="007C4C61" w:rsidRPr="00E35155" w:rsidRDefault="007C4C61" w:rsidP="007C4C61">
      <w:pPr>
        <w:rPr>
          <w:sz w:val="28"/>
          <w:szCs w:val="28"/>
        </w:rPr>
      </w:pPr>
      <w:r w:rsidRPr="00E35155">
        <w:rPr>
          <w:b/>
          <w:bCs/>
          <w:sz w:val="28"/>
          <w:szCs w:val="28"/>
        </w:rPr>
        <w:t>8.</w:t>
      </w:r>
      <w:r w:rsidRPr="00E35155">
        <w:rPr>
          <w:sz w:val="28"/>
          <w:szCs w:val="28"/>
        </w:rPr>
        <w:t xml:space="preserve"> Break steps down – ask them to do one thing at a time (when they are more able/comfortable with a task, then the number of steps could be increased). </w:t>
      </w:r>
    </w:p>
    <w:p w14:paraId="4A4F9EB4" w14:textId="46149251" w:rsidR="007C4C61" w:rsidRPr="00E35155" w:rsidRDefault="007C4C61" w:rsidP="007C4C61">
      <w:pPr>
        <w:rPr>
          <w:sz w:val="28"/>
          <w:szCs w:val="28"/>
        </w:rPr>
      </w:pPr>
      <w:r w:rsidRPr="00E35155">
        <w:rPr>
          <w:b/>
          <w:bCs/>
          <w:sz w:val="28"/>
          <w:szCs w:val="28"/>
        </w:rPr>
        <w:t>9.</w:t>
      </w:r>
      <w:r w:rsidRPr="00E35155">
        <w:rPr>
          <w:sz w:val="28"/>
          <w:szCs w:val="28"/>
        </w:rPr>
        <w:t xml:space="preserve"> If a young person struggles with executive function, it may be best not to give the young person too many options and instead use a limited choice, e.g. “Would you like an apple or a pear?” (ideally ensuring they like both options). This helps to give them some choice and a sense of control but reduces the demand and is less overwhelming. If the young person has demand avoidance, it may be easier to avoid asking a direct question, and instead say something like “I know you like apples and pears. I thought you may be hungry, so I’ll leave an apple and a pear out here for you in case you need a snack. I’m happy to cut it up if you want me to.” </w:t>
      </w:r>
    </w:p>
    <w:p w14:paraId="6B882945" w14:textId="40EAADD6" w:rsidR="007C4C61" w:rsidRPr="00E35155" w:rsidRDefault="007C4C61" w:rsidP="007C4C61">
      <w:pPr>
        <w:rPr>
          <w:sz w:val="28"/>
          <w:szCs w:val="28"/>
        </w:rPr>
      </w:pPr>
      <w:r w:rsidRPr="00E35155">
        <w:rPr>
          <w:b/>
          <w:bCs/>
          <w:sz w:val="28"/>
          <w:szCs w:val="28"/>
        </w:rPr>
        <w:t>10.</w:t>
      </w:r>
      <w:r w:rsidRPr="00E35155">
        <w:rPr>
          <w:sz w:val="28"/>
          <w:szCs w:val="28"/>
        </w:rPr>
        <w:t xml:space="preserve"> A communication passport which describes how a person communicates (e.g. gesture, sign, verbal, written, letter/word board) and some important things to know about them (e.g. what they like/dislike, how to help them if they’re upset, any allergies or adverse reactions). </w:t>
      </w:r>
    </w:p>
    <w:p w14:paraId="61A419A6" w14:textId="061BD286" w:rsidR="007C4C61" w:rsidRPr="007C4C61" w:rsidRDefault="00470BAC" w:rsidP="007C4C61">
      <w:r w:rsidRPr="00470BAC">
        <w:rPr>
          <w:noProof/>
          <w:sz w:val="28"/>
          <w:szCs w:val="28"/>
        </w:rPr>
        <mc:AlternateContent>
          <mc:Choice Requires="wps">
            <w:drawing>
              <wp:anchor distT="0" distB="0" distL="114300" distR="114300" simplePos="0" relativeHeight="251659264" behindDoc="0" locked="0" layoutInCell="1" allowOverlap="1" wp14:anchorId="78F153D8" wp14:editId="61F0E7D0">
                <wp:simplePos x="0" y="0"/>
                <wp:positionH relativeFrom="column">
                  <wp:posOffset>-885825</wp:posOffset>
                </wp:positionH>
                <wp:positionV relativeFrom="paragraph">
                  <wp:posOffset>1494790</wp:posOffset>
                </wp:positionV>
                <wp:extent cx="12192000" cy="533690"/>
                <wp:effectExtent l="0" t="0" r="0" b="0"/>
                <wp:wrapNone/>
                <wp:docPr id="5" name="Footer Placeholder 2">
                  <a:extLst xmlns:a="http://schemas.openxmlformats.org/drawingml/2006/main">
                    <a:ext uri="{FF2B5EF4-FFF2-40B4-BE49-F238E27FC236}">
                      <a16:creationId xmlns:a16="http://schemas.microsoft.com/office/drawing/2014/main" id="{200F4A81-C1DE-6380-9D6C-56511675F7CD}"/>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192000" cy="533690"/>
                        </a:xfrm>
                        <a:prstGeom prst="rect">
                          <a:avLst/>
                        </a:prstGeom>
                        <a:solidFill>
                          <a:srgbClr val="0072CE"/>
                        </a:solidFill>
                      </wps:spPr>
                      <wps:txbx>
                        <w:txbxContent>
                          <w:p w14:paraId="376D95CF" w14:textId="77777777" w:rsidR="00470BAC" w:rsidRDefault="00470BAC" w:rsidP="00470BAC">
                            <w:pPr>
                              <w:rPr>
                                <w:rFonts w:ascii="Arial" w:hAnsi="Arial" w:cs="Arial"/>
                                <w:color w:val="FFFFFF" w:themeColor="background1"/>
                                <w:kern w:val="24"/>
                                <w:sz w:val="40"/>
                                <w:szCs w:val="40"/>
                                <w14:ligatures w14:val="none"/>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wps:txbx>
                      <wps:bodyPr vert="horz" lIns="91440" tIns="45720" rIns="91440" bIns="45720" rtlCol="0" anchor="ctr"/>
                    </wps:wsp>
                  </a:graphicData>
                </a:graphic>
              </wp:anchor>
            </w:drawing>
          </mc:Choice>
          <mc:Fallback>
            <w:pict>
              <v:rect w14:anchorId="78F153D8" id="Footer Placeholder 2" o:spid="_x0000_s1026" alt="&quot;&quot;" style="position:absolute;margin-left:-69.75pt;margin-top:117.7pt;width:960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HosgEAAFEDAAAOAAAAZHJzL2Uyb0RvYy54bWysU8tu2zAQvBfoPxC813rEeViwnIPzQIGg&#10;DZD0AyiKtIRSXGLJWHK/vkvaUZL2VvRCcLnL4czscn09DYbtFfoebM2LRc6ZshLa3u5q/uP57ssV&#10;Zz4I2woDVtX8oDy/3nz+tB5dpUrowLQKGYFYX42u5l0IrsoyLzs1CL8ApywlNeAgAoW4y1oUI6EP&#10;Jivz/CIbAVuHIJX3dHpzTPJNwtdayfBda68CMzUnbiGtmNYmrtlmLaodCtf18kRD/AOLQfSWHp2h&#10;bkQQ7AX7v6CGXiJ40GEhYchA616qpIHUFPkfap464VTSQuZ4N9vk/x+s/LZ/co8YqXv3APKnZxbu&#10;kTpRRG+y0flqromBP1VPGod4iySwKfl5mP1UU2CSDouyWFGTyHdJyfOzs4tVcjwT1et1hz7cKxhY&#10;3NQcqWHJR7F/8CESENVrSeIIpm/vemNSgLtma5DtRWxufllubxNnkvJWlhQcSUf6YWomgo3bBtrD&#10;I91WSA93gL84M18tebsqlss4KylYnl+WFOD7TPMhE8wWjtMlrCScmsuAs3nUt6TiNGNxMN7HyeK3&#10;n7D5DQAA//8DAFBLAwQUAAYACAAAACEAXGN7Q+MAAAANAQAADwAAAGRycy9kb3ducmV2LnhtbEyP&#10;wU7DMAyG70i8Q2QkblvatWNbaTpNiDHBbYNp17QxbUWTlCTrytvjneBo+9P/f87Xo+7YgM631giI&#10;pxEwNJVVrakFfLxvJ0tgPkijZGcNCvhBD+vi9iaXmbIXs8fhEGpGIcZnUkATQp9x7qsGtfRT26Oh&#10;26d1WgYaXc2VkxcK1x2fRdED17I11NDIHp8arL4OZ029r/vtLh2fF9WuPA1vyh1fvjexEPd34+YR&#10;WMAx/MFw1Sd1KMiptGejPOsETOJkNSdWwCyZp8CuyGIZ0aoUkMSrFHiR8/9fFL8AAAD//wMAUEsB&#10;Ai0AFAAGAAgAAAAhALaDOJL+AAAA4QEAABMAAAAAAAAAAAAAAAAAAAAAAFtDb250ZW50X1R5cGVz&#10;XS54bWxQSwECLQAUAAYACAAAACEAOP0h/9YAAACUAQAACwAAAAAAAAAAAAAAAAAvAQAAX3JlbHMv&#10;LnJlbHNQSwECLQAUAAYACAAAACEAoIAB6LIBAABRAwAADgAAAAAAAAAAAAAAAAAuAgAAZHJzL2Uy&#10;b0RvYy54bWxQSwECLQAUAAYACAAAACEAXGN7Q+MAAAANAQAADwAAAAAAAAAAAAAAAAAMBAAAZHJz&#10;L2Rvd25yZXYueG1sUEsFBgAAAAAEAAQA8wAAABwFAAAAAA==&#10;" fillcolor="#0072ce" stroked="f">
                <o:lock v:ext="edit" grouping="t"/>
                <v:textbox>
                  <w:txbxContent>
                    <w:p w14:paraId="376D95CF" w14:textId="77777777" w:rsidR="00470BAC" w:rsidRDefault="00470BAC" w:rsidP="00470BAC">
                      <w:pPr>
                        <w:rPr>
                          <w:rFonts w:ascii="Arial" w:hAnsi="Arial" w:cs="Arial"/>
                          <w:color w:val="FFFFFF" w:themeColor="background1"/>
                          <w:kern w:val="24"/>
                          <w:sz w:val="40"/>
                          <w:szCs w:val="40"/>
                          <w14:ligatures w14:val="none"/>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v:textbox>
              </v:rect>
            </w:pict>
          </mc:Fallback>
        </mc:AlternateContent>
      </w:r>
      <w:r w:rsidR="007C4C61" w:rsidRPr="00E35155">
        <w:rPr>
          <w:b/>
          <w:bCs/>
          <w:sz w:val="28"/>
          <w:szCs w:val="28"/>
        </w:rPr>
        <w:t>11.</w:t>
      </w:r>
      <w:r w:rsidR="007C4C61" w:rsidRPr="00E35155">
        <w:rPr>
          <w:sz w:val="28"/>
          <w:szCs w:val="28"/>
        </w:rPr>
        <w:t xml:space="preserve"> Be curious and listen to your child (however they communicate). Asking why and thinking about the possible underlying triggers for their behaviour helps build your relationship and your child’s ability to trust you. Strategies are more likely to be effective if they agree with th</w:t>
      </w:r>
      <w:r w:rsidR="007C4C61" w:rsidRPr="007C4C61">
        <w:t xml:space="preserve">em. </w:t>
      </w:r>
    </w:p>
    <w:sectPr w:rsidR="007C4C61" w:rsidRPr="007C4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7B4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7870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8721268">
    <w:abstractNumId w:val="1"/>
  </w:num>
  <w:num w:numId="2" w16cid:durableId="19327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61"/>
    <w:rsid w:val="000758C5"/>
    <w:rsid w:val="000F7DA6"/>
    <w:rsid w:val="00164216"/>
    <w:rsid w:val="001A5349"/>
    <w:rsid w:val="00223168"/>
    <w:rsid w:val="0027239B"/>
    <w:rsid w:val="002D1A3F"/>
    <w:rsid w:val="00335111"/>
    <w:rsid w:val="003E65ED"/>
    <w:rsid w:val="003F01AC"/>
    <w:rsid w:val="00470BAC"/>
    <w:rsid w:val="005E18FE"/>
    <w:rsid w:val="0062336B"/>
    <w:rsid w:val="007477A5"/>
    <w:rsid w:val="007803A3"/>
    <w:rsid w:val="007C4C61"/>
    <w:rsid w:val="008733EE"/>
    <w:rsid w:val="00963ADC"/>
    <w:rsid w:val="009D5A93"/>
    <w:rsid w:val="00A54488"/>
    <w:rsid w:val="00A54662"/>
    <w:rsid w:val="00AC0B77"/>
    <w:rsid w:val="00C009D1"/>
    <w:rsid w:val="00C37BC0"/>
    <w:rsid w:val="00C70F8B"/>
    <w:rsid w:val="00CE31F7"/>
    <w:rsid w:val="00D87073"/>
    <w:rsid w:val="00DB19F4"/>
    <w:rsid w:val="00DF0F32"/>
    <w:rsid w:val="00E26B45"/>
    <w:rsid w:val="00E35155"/>
    <w:rsid w:val="00F5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A4BC"/>
  <w15:chartTrackingRefBased/>
  <w15:docId w15:val="{B42F3012-E671-4612-B9A7-489905C6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C61"/>
    <w:rPr>
      <w:rFonts w:eastAsiaTheme="majorEastAsia" w:cstheme="majorBidi"/>
      <w:color w:val="272727" w:themeColor="text1" w:themeTint="D8"/>
    </w:rPr>
  </w:style>
  <w:style w:type="paragraph" w:styleId="Title">
    <w:name w:val="Title"/>
    <w:basedOn w:val="Normal"/>
    <w:next w:val="Normal"/>
    <w:link w:val="TitleChar"/>
    <w:uiPriority w:val="10"/>
    <w:qFormat/>
    <w:rsid w:val="007C4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C61"/>
    <w:pPr>
      <w:spacing w:before="160"/>
      <w:jc w:val="center"/>
    </w:pPr>
    <w:rPr>
      <w:i/>
      <w:iCs/>
      <w:color w:val="404040" w:themeColor="text1" w:themeTint="BF"/>
    </w:rPr>
  </w:style>
  <w:style w:type="character" w:customStyle="1" w:styleId="QuoteChar">
    <w:name w:val="Quote Char"/>
    <w:basedOn w:val="DefaultParagraphFont"/>
    <w:link w:val="Quote"/>
    <w:uiPriority w:val="29"/>
    <w:rsid w:val="007C4C61"/>
    <w:rPr>
      <w:i/>
      <w:iCs/>
      <w:color w:val="404040" w:themeColor="text1" w:themeTint="BF"/>
    </w:rPr>
  </w:style>
  <w:style w:type="paragraph" w:styleId="ListParagraph">
    <w:name w:val="List Paragraph"/>
    <w:basedOn w:val="Normal"/>
    <w:uiPriority w:val="34"/>
    <w:qFormat/>
    <w:rsid w:val="007C4C61"/>
    <w:pPr>
      <w:ind w:left="720"/>
      <w:contextualSpacing/>
    </w:pPr>
  </w:style>
  <w:style w:type="character" w:styleId="IntenseEmphasis">
    <w:name w:val="Intense Emphasis"/>
    <w:basedOn w:val="DefaultParagraphFont"/>
    <w:uiPriority w:val="21"/>
    <w:qFormat/>
    <w:rsid w:val="007C4C61"/>
    <w:rPr>
      <w:i/>
      <w:iCs/>
      <w:color w:val="0F4761" w:themeColor="accent1" w:themeShade="BF"/>
    </w:rPr>
  </w:style>
  <w:style w:type="paragraph" w:styleId="IntenseQuote">
    <w:name w:val="Intense Quote"/>
    <w:basedOn w:val="Normal"/>
    <w:next w:val="Normal"/>
    <w:link w:val="IntenseQuoteChar"/>
    <w:uiPriority w:val="30"/>
    <w:qFormat/>
    <w:rsid w:val="007C4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C61"/>
    <w:rPr>
      <w:i/>
      <w:iCs/>
      <w:color w:val="0F4761" w:themeColor="accent1" w:themeShade="BF"/>
    </w:rPr>
  </w:style>
  <w:style w:type="character" w:styleId="IntenseReference">
    <w:name w:val="Intense Reference"/>
    <w:basedOn w:val="DefaultParagraphFont"/>
    <w:uiPriority w:val="32"/>
    <w:qFormat/>
    <w:rsid w:val="007C4C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Baumann Julie (RNU) Oxford Health</dc:creator>
  <cp:keywords/>
  <dc:description/>
  <cp:lastModifiedBy>Harris Adam (RNU) Oxford Health</cp:lastModifiedBy>
  <cp:revision>2</cp:revision>
  <cp:lastPrinted>2026-04-22T12:20:00Z</cp:lastPrinted>
  <dcterms:created xsi:type="dcterms:W3CDTF">2026-04-22T13:24:00Z</dcterms:created>
  <dcterms:modified xsi:type="dcterms:W3CDTF">2026-04-22T13:24:00Z</dcterms:modified>
</cp:coreProperties>
</file>