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5115" w14:textId="5465A550" w:rsidR="005D3499" w:rsidRPr="004D0692" w:rsidRDefault="001058A7" w:rsidP="00B11CE6">
      <w:pPr>
        <w:ind w:right="-900"/>
        <w:rPr>
          <w:rFonts w:ascii="Segoe UI" w:hAnsi="Segoe UI" w:cs="Segoe UI"/>
        </w:rPr>
      </w:pPr>
      <w:r w:rsidRPr="00913639">
        <w:rPr>
          <w:noProof/>
          <w:lang w:eastAsia="en-GB"/>
        </w:rPr>
        <w:drawing>
          <wp:anchor distT="0" distB="0" distL="114300" distR="114300" simplePos="0" relativeHeight="251658752" behindDoc="0" locked="0" layoutInCell="1" allowOverlap="1" wp14:anchorId="28150F15" wp14:editId="14030F10">
            <wp:simplePos x="5257800" y="1838325"/>
            <wp:positionH relativeFrom="column">
              <wp:align>right</wp:align>
            </wp:positionH>
            <wp:positionV relativeFrom="paragraph">
              <wp:align>top</wp:align>
            </wp:positionV>
            <wp:extent cx="1943100" cy="819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0"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anchor>
        </w:drawing>
      </w:r>
      <w:r w:rsidR="00B11CE6">
        <w:rPr>
          <w:rFonts w:ascii="Segoe UI" w:hAnsi="Segoe UI" w:cs="Segoe UI"/>
        </w:rPr>
        <w:br w:type="textWrapping" w:clear="all"/>
      </w:r>
    </w:p>
    <w:p w14:paraId="780F7695" w14:textId="77777777"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044517D0" w14:textId="77777777" w:rsidR="002821F8" w:rsidRPr="00FA3993" w:rsidRDefault="00EE5F29">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7728" behindDoc="0" locked="0" layoutInCell="1" allowOverlap="1" wp14:anchorId="02FFF2D1" wp14:editId="3012EA62">
                <wp:simplePos x="0" y="0"/>
                <wp:positionH relativeFrom="column">
                  <wp:posOffset>4703445</wp:posOffset>
                </wp:positionH>
                <wp:positionV relativeFrom="paragraph">
                  <wp:posOffset>98425</wp:posOffset>
                </wp:positionV>
                <wp:extent cx="1371600" cy="5715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423BB3A5" w14:textId="7B9CABE7" w:rsidR="00781566" w:rsidRDefault="00FA3993">
                            <w:pPr>
                              <w:jc w:val="center"/>
                              <w:rPr>
                                <w:rFonts w:ascii="Segoe UI" w:hAnsi="Segoe UI" w:cs="Segoe UI"/>
                              </w:rPr>
                            </w:pPr>
                            <w:r>
                              <w:rPr>
                                <w:rFonts w:ascii="Segoe UI" w:hAnsi="Segoe UI" w:cs="Segoe UI"/>
                                <w:b/>
                              </w:rPr>
                              <w:t>BOD</w:t>
                            </w:r>
                            <w:r w:rsidR="00112F4E">
                              <w:rPr>
                                <w:rFonts w:ascii="Segoe UI" w:hAnsi="Segoe UI" w:cs="Segoe UI"/>
                                <w:b/>
                              </w:rPr>
                              <w:t xml:space="preserve"> 49(</w:t>
                            </w:r>
                            <w:proofErr w:type="spellStart"/>
                            <w:r w:rsidR="00112F4E">
                              <w:rPr>
                                <w:rFonts w:ascii="Segoe UI" w:hAnsi="Segoe UI" w:cs="Segoe UI"/>
                                <w:b/>
                              </w:rPr>
                              <w:t>i</w:t>
                            </w:r>
                            <w:proofErr w:type="spellEnd"/>
                            <w:r w:rsidR="00112F4E">
                              <w:rPr>
                                <w:rFonts w:ascii="Segoe UI" w:hAnsi="Segoe UI" w:cs="Segoe UI"/>
                                <w:b/>
                              </w:rPr>
                              <w:t>)</w:t>
                            </w:r>
                            <w:r>
                              <w:rPr>
                                <w:rFonts w:ascii="Segoe UI" w:hAnsi="Segoe UI" w:cs="Segoe UI"/>
                                <w:b/>
                              </w:rPr>
                              <w:t>/20</w:t>
                            </w:r>
                            <w:r w:rsidR="0097530A">
                              <w:rPr>
                                <w:rFonts w:ascii="Segoe UI" w:hAnsi="Segoe UI" w:cs="Segoe UI"/>
                                <w:b/>
                              </w:rPr>
                              <w:t>2</w:t>
                            </w:r>
                            <w:r w:rsidR="00DA7A7C">
                              <w:rPr>
                                <w:rFonts w:ascii="Segoe UI" w:hAnsi="Segoe UI" w:cs="Segoe UI"/>
                                <w:b/>
                              </w:rPr>
                              <w:t>3</w:t>
                            </w:r>
                          </w:p>
                          <w:p w14:paraId="0767AA72" w14:textId="19E8E601"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112F4E">
                              <w:rPr>
                                <w:rFonts w:ascii="Segoe UI" w:hAnsi="Segoe UI" w:cs="Segoe UI"/>
                                <w:sz w:val="22"/>
                                <w:szCs w:val="22"/>
                              </w:rPr>
                              <w:t>12(a)</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FF2D1" id="Rectangle 10" o:spid="_x0000_s1026" style="position:absolute;left:0;text-align:left;margin-left:370.35pt;margin-top:7.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">
                <v:path arrowok="t"/>
                <v:textbox inset="0,0,0,0">
                  <w:txbxContent>
                    <w:p w14:paraId="423BB3A5" w14:textId="7B9CABE7" w:rsidR="00781566" w:rsidRDefault="00FA3993">
                      <w:pPr>
                        <w:jc w:val="center"/>
                        <w:rPr>
                          <w:rFonts w:ascii="Segoe UI" w:hAnsi="Segoe UI" w:cs="Segoe UI"/>
                        </w:rPr>
                      </w:pPr>
                      <w:r>
                        <w:rPr>
                          <w:rFonts w:ascii="Segoe UI" w:hAnsi="Segoe UI" w:cs="Segoe UI"/>
                          <w:b/>
                        </w:rPr>
                        <w:t>BOD</w:t>
                      </w:r>
                      <w:r w:rsidR="00112F4E">
                        <w:rPr>
                          <w:rFonts w:ascii="Segoe UI" w:hAnsi="Segoe UI" w:cs="Segoe UI"/>
                          <w:b/>
                        </w:rPr>
                        <w:t xml:space="preserve"> 49(</w:t>
                      </w:r>
                      <w:proofErr w:type="spellStart"/>
                      <w:r w:rsidR="00112F4E">
                        <w:rPr>
                          <w:rFonts w:ascii="Segoe UI" w:hAnsi="Segoe UI" w:cs="Segoe UI"/>
                          <w:b/>
                        </w:rPr>
                        <w:t>i</w:t>
                      </w:r>
                      <w:proofErr w:type="spellEnd"/>
                      <w:r w:rsidR="00112F4E">
                        <w:rPr>
                          <w:rFonts w:ascii="Segoe UI" w:hAnsi="Segoe UI" w:cs="Segoe UI"/>
                          <w:b/>
                        </w:rPr>
                        <w:t>)</w:t>
                      </w:r>
                      <w:r>
                        <w:rPr>
                          <w:rFonts w:ascii="Segoe UI" w:hAnsi="Segoe UI" w:cs="Segoe UI"/>
                          <w:b/>
                        </w:rPr>
                        <w:t>/20</w:t>
                      </w:r>
                      <w:r w:rsidR="0097530A">
                        <w:rPr>
                          <w:rFonts w:ascii="Segoe UI" w:hAnsi="Segoe UI" w:cs="Segoe UI"/>
                          <w:b/>
                        </w:rPr>
                        <w:t>2</w:t>
                      </w:r>
                      <w:r w:rsidR="00DA7A7C">
                        <w:rPr>
                          <w:rFonts w:ascii="Segoe UI" w:hAnsi="Segoe UI" w:cs="Segoe UI"/>
                          <w:b/>
                        </w:rPr>
                        <w:t>3</w:t>
                      </w:r>
                    </w:p>
                    <w:p w14:paraId="0767AA72" w14:textId="19E8E601"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112F4E">
                        <w:rPr>
                          <w:rFonts w:ascii="Segoe UI" w:hAnsi="Segoe UI" w:cs="Segoe UI"/>
                          <w:sz w:val="22"/>
                          <w:szCs w:val="22"/>
                        </w:rPr>
                        <w:t>12(a)</w:t>
                      </w:r>
                      <w:r>
                        <w:rPr>
                          <w:rFonts w:ascii="Segoe UI" w:hAnsi="Segoe UI" w:cs="Segoe UI"/>
                          <w:sz w:val="22"/>
                          <w:szCs w:val="22"/>
                        </w:rPr>
                        <w:t>)</w:t>
                      </w:r>
                    </w:p>
                  </w:txbxContent>
                </v:textbox>
              </v:rect>
            </w:pict>
          </mc:Fallback>
        </mc:AlternateConten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69AF2668" w14:textId="77777777" w:rsidR="00FA3993" w:rsidRDefault="00FA3993">
      <w:pPr>
        <w:pStyle w:val="Heading1"/>
        <w:jc w:val="center"/>
        <w:rPr>
          <w:rFonts w:ascii="Segoe UI" w:hAnsi="Segoe UI" w:cs="Segoe UI"/>
          <w:sz w:val="28"/>
          <w:u w:val="none"/>
        </w:rPr>
      </w:pPr>
    </w:p>
    <w:p w14:paraId="7F61452F"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51A8215F" w14:textId="77777777" w:rsidR="005D3499" w:rsidRPr="00FA3993" w:rsidRDefault="005D3499" w:rsidP="00A85311">
      <w:pPr>
        <w:rPr>
          <w:rFonts w:ascii="Segoe UI" w:hAnsi="Segoe UI" w:cs="Segoe UI"/>
          <w:b/>
        </w:rPr>
      </w:pPr>
    </w:p>
    <w:p w14:paraId="3A1518BF" w14:textId="65607E2C" w:rsidR="005D3499" w:rsidRPr="00FA3993" w:rsidRDefault="00667239">
      <w:pPr>
        <w:jc w:val="center"/>
        <w:rPr>
          <w:rFonts w:ascii="Segoe UI" w:hAnsi="Segoe UI" w:cs="Segoe UI"/>
          <w:b/>
        </w:rPr>
      </w:pPr>
      <w:r>
        <w:rPr>
          <w:rFonts w:ascii="Segoe UI" w:hAnsi="Segoe UI" w:cs="Segoe UI"/>
          <w:b/>
        </w:rPr>
        <w:t>19</w:t>
      </w:r>
      <w:r w:rsidR="00576610">
        <w:rPr>
          <w:rFonts w:ascii="Segoe UI" w:hAnsi="Segoe UI" w:cs="Segoe UI"/>
          <w:b/>
        </w:rPr>
        <w:t xml:space="preserve"> </w:t>
      </w:r>
      <w:r>
        <w:rPr>
          <w:rFonts w:ascii="Segoe UI" w:hAnsi="Segoe UI" w:cs="Segoe UI"/>
          <w:b/>
        </w:rPr>
        <w:t>July</w:t>
      </w:r>
      <w:r w:rsidR="00E43E64">
        <w:rPr>
          <w:rFonts w:ascii="Segoe UI" w:hAnsi="Segoe UI" w:cs="Segoe UI"/>
          <w:b/>
        </w:rPr>
        <w:t xml:space="preserve"> </w:t>
      </w:r>
      <w:r w:rsidR="00A016A0">
        <w:rPr>
          <w:rFonts w:ascii="Segoe UI" w:hAnsi="Segoe UI" w:cs="Segoe UI"/>
          <w:b/>
        </w:rPr>
        <w:t>20</w:t>
      </w:r>
      <w:r w:rsidR="0097530A">
        <w:rPr>
          <w:rFonts w:ascii="Segoe UI" w:hAnsi="Segoe UI" w:cs="Segoe UI"/>
          <w:b/>
        </w:rPr>
        <w:t>2</w:t>
      </w:r>
      <w:r w:rsidR="00DA7A7C">
        <w:rPr>
          <w:rFonts w:ascii="Segoe UI" w:hAnsi="Segoe UI" w:cs="Segoe UI"/>
          <w:b/>
        </w:rPr>
        <w:t>3</w:t>
      </w:r>
    </w:p>
    <w:p w14:paraId="56632C0E" w14:textId="77777777" w:rsidR="005D3499" w:rsidRPr="00FA3993" w:rsidRDefault="005D3499">
      <w:pPr>
        <w:jc w:val="center"/>
        <w:rPr>
          <w:rFonts w:ascii="Segoe UI" w:hAnsi="Segoe UI" w:cs="Segoe UI"/>
          <w:b/>
        </w:rPr>
      </w:pPr>
    </w:p>
    <w:p w14:paraId="359DF8AB" w14:textId="26BD853A" w:rsidR="005D3499" w:rsidRPr="00FA3993" w:rsidRDefault="00154D4F" w:rsidP="00FD2279">
      <w:pPr>
        <w:jc w:val="center"/>
        <w:rPr>
          <w:rFonts w:ascii="Segoe UI" w:hAnsi="Segoe UI" w:cs="Segoe UI"/>
          <w:b/>
        </w:rPr>
      </w:pPr>
      <w:r w:rsidRPr="00D11D83">
        <w:rPr>
          <w:rFonts w:ascii="Segoe UI" w:hAnsi="Segoe UI" w:cs="Segoe UI"/>
          <w:b/>
        </w:rPr>
        <w:t xml:space="preserve">Report from </w:t>
      </w:r>
      <w:r w:rsidR="005014AF">
        <w:rPr>
          <w:rFonts w:ascii="Segoe UI" w:hAnsi="Segoe UI" w:cs="Segoe UI"/>
          <w:b/>
        </w:rPr>
        <w:t xml:space="preserve">the </w:t>
      </w:r>
      <w:r w:rsidR="00E43E64" w:rsidRPr="00D11D83">
        <w:rPr>
          <w:rFonts w:ascii="Segoe UI" w:hAnsi="Segoe UI" w:cs="Segoe UI"/>
          <w:b/>
        </w:rPr>
        <w:t xml:space="preserve">Finance &amp; </w:t>
      </w:r>
      <w:r w:rsidR="00E71523" w:rsidRPr="00D11D83">
        <w:rPr>
          <w:rFonts w:ascii="Segoe UI" w:hAnsi="Segoe UI" w:cs="Segoe UI"/>
          <w:b/>
        </w:rPr>
        <w:t>Investment</w:t>
      </w:r>
      <w:r w:rsidRPr="00D11D83">
        <w:rPr>
          <w:rFonts w:ascii="Segoe UI" w:hAnsi="Segoe UI" w:cs="Segoe UI"/>
          <w:b/>
        </w:rPr>
        <w:t xml:space="preserve"> Committee </w:t>
      </w:r>
      <w:r w:rsidR="005014AF">
        <w:rPr>
          <w:rFonts w:ascii="Segoe UI" w:hAnsi="Segoe UI" w:cs="Segoe UI"/>
          <w:b/>
        </w:rPr>
        <w:t>(FIC)</w:t>
      </w:r>
      <w:r w:rsidR="00576610">
        <w:rPr>
          <w:rFonts w:ascii="Segoe UI" w:hAnsi="Segoe UI" w:cs="Segoe UI"/>
          <w:b/>
        </w:rPr>
        <w:br/>
      </w:r>
      <w:r w:rsidRPr="00D11D83">
        <w:rPr>
          <w:rFonts w:ascii="Segoe UI" w:hAnsi="Segoe UI" w:cs="Segoe UI"/>
          <w:b/>
        </w:rPr>
        <w:t>on matters to Alert, Assure</w:t>
      </w:r>
      <w:r>
        <w:rPr>
          <w:rFonts w:ascii="Segoe UI" w:hAnsi="Segoe UI" w:cs="Segoe UI"/>
          <w:b/>
        </w:rPr>
        <w:t xml:space="preserve"> or Advise</w:t>
      </w:r>
    </w:p>
    <w:p w14:paraId="08597AF6" w14:textId="5B283F04" w:rsidR="00292613" w:rsidRPr="00154D4F" w:rsidRDefault="00292613" w:rsidP="00154D4F">
      <w:pPr>
        <w:jc w:val="center"/>
        <w:rPr>
          <w:rFonts w:ascii="Segoe UI" w:hAnsi="Segoe UI" w:cs="Segoe UI"/>
          <w:bCs/>
          <w:i/>
          <w:iCs/>
        </w:rPr>
      </w:pPr>
    </w:p>
    <w:p w14:paraId="6BCEE3BD" w14:textId="77777777" w:rsidR="007A2CF0" w:rsidRPr="00101A8F" w:rsidRDefault="007A2CF0" w:rsidP="00300635">
      <w:pPr>
        <w:spacing w:after="120"/>
        <w:jc w:val="both"/>
        <w:rPr>
          <w:rFonts w:ascii="Segoe UI" w:hAnsi="Segoe UI" w:cs="Segoe UI"/>
        </w:rPr>
      </w:pPr>
      <w:r w:rsidRPr="00FA3993">
        <w:rPr>
          <w:rFonts w:ascii="Segoe UI" w:hAnsi="Segoe UI" w:cs="Segoe UI"/>
          <w:b/>
        </w:rPr>
        <w:t>Executive Summary</w:t>
      </w:r>
      <w:r w:rsidR="00101A8F">
        <w:rPr>
          <w:rFonts w:ascii="Segoe UI" w:hAnsi="Segoe UI" w:cs="Segoe UI"/>
          <w:b/>
        </w:rPr>
        <w:t xml:space="preserve"> </w:t>
      </w:r>
    </w:p>
    <w:p w14:paraId="7B03C896" w14:textId="79003A65" w:rsidR="00154D4F" w:rsidRPr="00154D4F" w:rsidRDefault="00907865" w:rsidP="00300635">
      <w:pPr>
        <w:spacing w:after="120"/>
        <w:jc w:val="both"/>
        <w:rPr>
          <w:rFonts w:ascii="Segoe UI" w:hAnsi="Segoe UI" w:cs="Segoe UI"/>
          <w:iCs/>
        </w:rPr>
      </w:pPr>
      <w:r>
        <w:rPr>
          <w:rFonts w:ascii="Segoe UI" w:hAnsi="Segoe UI" w:cs="Segoe UI"/>
          <w:iCs/>
        </w:rPr>
        <w:t xml:space="preserve">The agenda </w:t>
      </w:r>
      <w:r w:rsidR="008A6300">
        <w:rPr>
          <w:rFonts w:ascii="Segoe UI" w:hAnsi="Segoe UI" w:cs="Segoe UI"/>
          <w:iCs/>
        </w:rPr>
        <w:t xml:space="preserve">and minutes </w:t>
      </w:r>
      <w:r>
        <w:rPr>
          <w:rFonts w:ascii="Segoe UI" w:hAnsi="Segoe UI" w:cs="Segoe UI"/>
          <w:iCs/>
        </w:rPr>
        <w:t xml:space="preserve">of </w:t>
      </w:r>
      <w:r w:rsidR="0030447D">
        <w:rPr>
          <w:rFonts w:ascii="Segoe UI" w:hAnsi="Segoe UI" w:cs="Segoe UI"/>
          <w:iCs/>
        </w:rPr>
        <w:t>the Committee’s most recent meeting</w:t>
      </w:r>
      <w:r w:rsidR="00B02CF9">
        <w:rPr>
          <w:rFonts w:ascii="Segoe UI" w:hAnsi="Segoe UI" w:cs="Segoe UI"/>
          <w:iCs/>
        </w:rPr>
        <w:t xml:space="preserve"> -</w:t>
      </w:r>
      <w:r w:rsidR="00DA79EF">
        <w:rPr>
          <w:rFonts w:ascii="Segoe UI" w:hAnsi="Segoe UI" w:cs="Segoe UI"/>
          <w:iCs/>
        </w:rPr>
        <w:t xml:space="preserve"> on </w:t>
      </w:r>
      <w:r w:rsidR="00E26C0D">
        <w:rPr>
          <w:rFonts w:ascii="Segoe UI" w:hAnsi="Segoe UI" w:cs="Segoe UI"/>
          <w:iCs/>
        </w:rPr>
        <w:t>July 4</w:t>
      </w:r>
      <w:r w:rsidR="00513D95">
        <w:rPr>
          <w:rFonts w:ascii="Segoe UI" w:hAnsi="Segoe UI" w:cs="Segoe UI"/>
          <w:iCs/>
        </w:rPr>
        <w:t xml:space="preserve"> </w:t>
      </w:r>
      <w:r w:rsidR="00B02CF9">
        <w:rPr>
          <w:rFonts w:ascii="Segoe UI" w:hAnsi="Segoe UI" w:cs="Segoe UI"/>
          <w:iCs/>
        </w:rPr>
        <w:t>-</w:t>
      </w:r>
      <w:r>
        <w:rPr>
          <w:rFonts w:ascii="Segoe UI" w:hAnsi="Segoe UI" w:cs="Segoe UI"/>
          <w:iCs/>
        </w:rPr>
        <w:t xml:space="preserve"> </w:t>
      </w:r>
      <w:r w:rsidR="008A6300">
        <w:rPr>
          <w:rFonts w:ascii="Segoe UI" w:hAnsi="Segoe UI" w:cs="Segoe UI"/>
          <w:iCs/>
        </w:rPr>
        <w:t>are</w:t>
      </w:r>
      <w:r w:rsidR="00154D4F">
        <w:rPr>
          <w:rFonts w:ascii="Segoe UI" w:hAnsi="Segoe UI" w:cs="Segoe UI"/>
          <w:iCs/>
        </w:rPr>
        <w:t xml:space="preserve"> </w:t>
      </w:r>
      <w:r w:rsidR="00513D95">
        <w:rPr>
          <w:rFonts w:ascii="Segoe UI" w:hAnsi="Segoe UI" w:cs="Segoe UI"/>
          <w:iCs/>
        </w:rPr>
        <w:t>available</w:t>
      </w:r>
      <w:r w:rsidR="00DB0DDF">
        <w:rPr>
          <w:rFonts w:ascii="Segoe UI" w:hAnsi="Segoe UI" w:cs="Segoe UI"/>
          <w:iCs/>
        </w:rPr>
        <w:t xml:space="preserve"> for information</w:t>
      </w:r>
      <w:r w:rsidR="00513D95">
        <w:rPr>
          <w:rFonts w:ascii="Segoe UI" w:hAnsi="Segoe UI" w:cs="Segoe UI"/>
          <w:iCs/>
        </w:rPr>
        <w:t xml:space="preserve"> in the Reading Room</w:t>
      </w:r>
      <w:r w:rsidR="008A6300">
        <w:rPr>
          <w:rFonts w:ascii="Segoe UI" w:hAnsi="Segoe UI" w:cs="Segoe UI"/>
          <w:iCs/>
        </w:rPr>
        <w:t xml:space="preserve">. </w:t>
      </w:r>
      <w:r w:rsidR="0030447D">
        <w:rPr>
          <w:rFonts w:ascii="Segoe UI" w:hAnsi="Segoe UI" w:cs="Segoe UI"/>
          <w:iCs/>
        </w:rPr>
        <w:t xml:space="preserve"> </w:t>
      </w:r>
      <w:r w:rsidR="008A6300">
        <w:rPr>
          <w:rFonts w:ascii="Segoe UI" w:hAnsi="Segoe UI" w:cs="Segoe UI"/>
          <w:iCs/>
        </w:rPr>
        <w:t xml:space="preserve">From </w:t>
      </w:r>
      <w:r w:rsidR="00DB0DDF">
        <w:rPr>
          <w:rFonts w:ascii="Segoe UI" w:hAnsi="Segoe UI" w:cs="Segoe UI"/>
          <w:iCs/>
        </w:rPr>
        <w:t>the Committee’s scrutiny of</w:t>
      </w:r>
      <w:r w:rsidR="008A6300">
        <w:rPr>
          <w:rFonts w:ascii="Segoe UI" w:hAnsi="Segoe UI" w:cs="Segoe UI"/>
          <w:iCs/>
        </w:rPr>
        <w:t xml:space="preserve"> papers</w:t>
      </w:r>
      <w:r w:rsidR="00DB0DDF">
        <w:rPr>
          <w:rFonts w:ascii="Segoe UI" w:hAnsi="Segoe UI" w:cs="Segoe UI"/>
          <w:iCs/>
        </w:rPr>
        <w:t>,</w:t>
      </w:r>
      <w:r w:rsidR="008A6300">
        <w:rPr>
          <w:rFonts w:ascii="Segoe UI" w:hAnsi="Segoe UI" w:cs="Segoe UI"/>
          <w:iCs/>
        </w:rPr>
        <w:t xml:space="preserve"> and </w:t>
      </w:r>
      <w:r w:rsidR="00DB0DDF">
        <w:rPr>
          <w:rFonts w:ascii="Segoe UI" w:hAnsi="Segoe UI" w:cs="Segoe UI"/>
          <w:iCs/>
        </w:rPr>
        <w:t xml:space="preserve">reflecting on the </w:t>
      </w:r>
      <w:r w:rsidR="008A6300">
        <w:rPr>
          <w:rFonts w:ascii="Segoe UI" w:hAnsi="Segoe UI" w:cs="Segoe UI"/>
          <w:iCs/>
        </w:rPr>
        <w:t xml:space="preserve">matters </w:t>
      </w:r>
      <w:r w:rsidR="00EE6AE3">
        <w:rPr>
          <w:rFonts w:ascii="Segoe UI" w:hAnsi="Segoe UI" w:cs="Segoe UI"/>
          <w:iCs/>
        </w:rPr>
        <w:t>we discussed</w:t>
      </w:r>
      <w:r w:rsidR="00DA79EF">
        <w:rPr>
          <w:rFonts w:ascii="Segoe UI" w:hAnsi="Segoe UI" w:cs="Segoe UI"/>
          <w:iCs/>
        </w:rPr>
        <w:t xml:space="preserve"> at the meeting</w:t>
      </w:r>
      <w:r w:rsidR="00EE6AE3">
        <w:rPr>
          <w:rFonts w:ascii="Segoe UI" w:hAnsi="Segoe UI" w:cs="Segoe UI"/>
          <w:iCs/>
        </w:rPr>
        <w:t xml:space="preserve">, I would draw </w:t>
      </w:r>
      <w:r w:rsidR="00DB0DDF">
        <w:rPr>
          <w:rFonts w:ascii="Segoe UI" w:hAnsi="Segoe UI" w:cs="Segoe UI"/>
          <w:iCs/>
        </w:rPr>
        <w:t xml:space="preserve">the Board’s attention to </w:t>
      </w:r>
      <w:r w:rsidR="00EE6AE3">
        <w:rPr>
          <w:rFonts w:ascii="Segoe UI" w:hAnsi="Segoe UI" w:cs="Segoe UI"/>
          <w:iCs/>
        </w:rPr>
        <w:t>the following</w:t>
      </w:r>
      <w:r w:rsidR="00DB0DDF">
        <w:rPr>
          <w:rFonts w:ascii="Segoe UI" w:hAnsi="Segoe UI" w:cs="Segoe UI"/>
          <w:iCs/>
        </w:rPr>
        <w:t xml:space="preserve"> matters:</w:t>
      </w:r>
    </w:p>
    <w:p w14:paraId="5B33174E" w14:textId="77777777" w:rsidR="00556ED2" w:rsidRPr="00B02CF9" w:rsidRDefault="00556ED2" w:rsidP="00300635">
      <w:pPr>
        <w:spacing w:after="120"/>
        <w:jc w:val="both"/>
        <w:rPr>
          <w:rFonts w:ascii="Segoe UI" w:hAnsi="Segoe UI" w:cs="Segoe UI"/>
          <w:iCs/>
        </w:rPr>
      </w:pPr>
    </w:p>
    <w:p w14:paraId="5211EC11" w14:textId="20BAD983" w:rsidR="00FA3993" w:rsidRPr="00FA3993" w:rsidRDefault="00154D4F" w:rsidP="00300635">
      <w:pPr>
        <w:spacing w:after="120"/>
        <w:jc w:val="both"/>
        <w:rPr>
          <w:rFonts w:ascii="Segoe UI" w:hAnsi="Segoe UI" w:cs="Segoe UI"/>
          <w:b/>
        </w:rPr>
      </w:pPr>
      <w:r>
        <w:rPr>
          <w:rFonts w:ascii="Segoe UI" w:hAnsi="Segoe UI" w:cs="Segoe UI"/>
          <w:b/>
        </w:rPr>
        <w:t>For Alert</w:t>
      </w:r>
      <w:r w:rsidR="0000267F">
        <w:rPr>
          <w:rFonts w:ascii="Segoe UI" w:hAnsi="Segoe UI" w:cs="Segoe UI"/>
          <w:b/>
        </w:rPr>
        <w:t xml:space="preserve"> </w:t>
      </w:r>
      <w:r w:rsidR="0000267F" w:rsidRPr="00D9573C">
        <w:rPr>
          <w:rFonts w:ascii="Segoe UI" w:hAnsi="Segoe UI" w:cs="Segoe UI"/>
          <w:b/>
        </w:rPr>
        <w:t>(</w:t>
      </w:r>
      <w:r w:rsidR="00086A88" w:rsidRPr="00D9573C">
        <w:rPr>
          <w:rFonts w:ascii="Segoe UI" w:hAnsi="Segoe UI" w:cs="Segoe UI"/>
          <w:b/>
        </w:rPr>
        <w:t>may require</w:t>
      </w:r>
      <w:r w:rsidR="0000267F" w:rsidRPr="00D9573C">
        <w:rPr>
          <w:rFonts w:ascii="Segoe UI" w:hAnsi="Segoe UI" w:cs="Segoe UI"/>
          <w:b/>
        </w:rPr>
        <w:t xml:space="preserve"> discussion)</w:t>
      </w:r>
    </w:p>
    <w:p w14:paraId="149A3520" w14:textId="7068CB7A" w:rsidR="00154D4F" w:rsidRDefault="00154D4F" w:rsidP="00300635">
      <w:pPr>
        <w:spacing w:after="120"/>
        <w:jc w:val="both"/>
        <w:rPr>
          <w:rFonts w:ascii="Segoe UI" w:hAnsi="Segoe UI" w:cs="Segoe UI"/>
          <w:iCs/>
        </w:rPr>
      </w:pPr>
      <w:r>
        <w:rPr>
          <w:rFonts w:ascii="Segoe UI" w:hAnsi="Segoe UI" w:cs="Segoe UI"/>
          <w:iCs/>
        </w:rPr>
        <w:t xml:space="preserve">The </w:t>
      </w:r>
      <w:r w:rsidR="00CF5705">
        <w:rPr>
          <w:rFonts w:ascii="Segoe UI" w:hAnsi="Segoe UI" w:cs="Segoe UI"/>
          <w:iCs/>
        </w:rPr>
        <w:t>Board is asked to note the following</w:t>
      </w:r>
      <w:r>
        <w:rPr>
          <w:rFonts w:ascii="Segoe UI" w:hAnsi="Segoe UI" w:cs="Segoe UI"/>
          <w:iCs/>
        </w:rPr>
        <w:t>:</w:t>
      </w:r>
    </w:p>
    <w:p w14:paraId="2440B1A3" w14:textId="77777777" w:rsidR="00A22EA3" w:rsidRPr="00A22EA3" w:rsidRDefault="0000292C" w:rsidP="0000292C">
      <w:pPr>
        <w:pStyle w:val="ListParagraph"/>
        <w:numPr>
          <w:ilvl w:val="0"/>
          <w:numId w:val="10"/>
        </w:numPr>
        <w:spacing w:after="120"/>
        <w:jc w:val="both"/>
        <w:rPr>
          <w:rFonts w:ascii="Segoe UI" w:hAnsi="Segoe UI" w:cs="Segoe UI"/>
          <w:b/>
        </w:rPr>
      </w:pPr>
      <w:r w:rsidRPr="0000292C">
        <w:rPr>
          <w:rFonts w:ascii="Segoe UI" w:hAnsi="Segoe UI" w:cs="Segoe UI"/>
          <w:iCs/>
        </w:rPr>
        <w:t xml:space="preserve">The Committee noted that, after two months, the </w:t>
      </w:r>
      <w:r w:rsidRPr="0090446A">
        <w:rPr>
          <w:rFonts w:ascii="Segoe UI" w:hAnsi="Segoe UI" w:cs="Segoe UI"/>
          <w:b/>
          <w:bCs/>
          <w:iCs/>
        </w:rPr>
        <w:t>financial dynamics</w:t>
      </w:r>
      <w:r w:rsidRPr="0000292C">
        <w:rPr>
          <w:rFonts w:ascii="Segoe UI" w:hAnsi="Segoe UI" w:cs="Segoe UI"/>
          <w:iCs/>
        </w:rPr>
        <w:t xml:space="preserve"> within the Trust’s budgets and across the wider the Integrated Care System </w:t>
      </w:r>
      <w:r w:rsidR="0090446A">
        <w:rPr>
          <w:rFonts w:ascii="Segoe UI" w:hAnsi="Segoe UI" w:cs="Segoe UI"/>
          <w:iCs/>
        </w:rPr>
        <w:t>have</w:t>
      </w:r>
      <w:r w:rsidRPr="0000292C">
        <w:rPr>
          <w:rFonts w:ascii="Segoe UI" w:hAnsi="Segoe UI" w:cs="Segoe UI"/>
          <w:iCs/>
        </w:rPr>
        <w:t xml:space="preserve"> the potential </w:t>
      </w:r>
      <w:r w:rsidR="0090446A">
        <w:rPr>
          <w:rFonts w:ascii="Segoe UI" w:hAnsi="Segoe UI" w:cs="Segoe UI"/>
          <w:iCs/>
        </w:rPr>
        <w:t xml:space="preserve">to create </w:t>
      </w:r>
      <w:r w:rsidRPr="0000292C">
        <w:rPr>
          <w:rFonts w:ascii="Segoe UI" w:hAnsi="Segoe UI" w:cs="Segoe UI"/>
          <w:iCs/>
        </w:rPr>
        <w:t>a degree of financial turbulence in the second half of this financial year</w:t>
      </w:r>
      <w:r w:rsidR="00BC5F4F" w:rsidRPr="0000292C">
        <w:rPr>
          <w:rFonts w:ascii="Segoe UI" w:hAnsi="Segoe UI" w:cs="Segoe UI"/>
          <w:iCs/>
        </w:rPr>
        <w:t>.</w:t>
      </w:r>
      <w:r w:rsidRPr="0000292C">
        <w:rPr>
          <w:rFonts w:ascii="Segoe UI" w:hAnsi="Segoe UI" w:cs="Segoe UI"/>
          <w:iCs/>
        </w:rPr>
        <w:t xml:space="preserve"> </w:t>
      </w:r>
    </w:p>
    <w:p w14:paraId="6C43D0C9" w14:textId="77777777" w:rsidR="00A22EA3" w:rsidRPr="00A22EA3" w:rsidRDefault="0000292C" w:rsidP="00A22EA3">
      <w:pPr>
        <w:pStyle w:val="ListParagraph"/>
        <w:numPr>
          <w:ilvl w:val="1"/>
          <w:numId w:val="10"/>
        </w:numPr>
        <w:spacing w:after="120"/>
        <w:jc w:val="both"/>
        <w:rPr>
          <w:rFonts w:ascii="Segoe UI" w:hAnsi="Segoe UI" w:cs="Segoe UI"/>
          <w:b/>
        </w:rPr>
      </w:pPr>
      <w:r w:rsidRPr="0000292C">
        <w:rPr>
          <w:rFonts w:ascii="Segoe UI" w:hAnsi="Segoe UI" w:cs="Segoe UI"/>
          <w:iCs/>
        </w:rPr>
        <w:t>It is important to note that these current uncertainties represent both potential risks and potential opportunities</w:t>
      </w:r>
      <w:r w:rsidR="00A22EA3">
        <w:rPr>
          <w:rFonts w:ascii="Segoe UI" w:hAnsi="Segoe UI" w:cs="Segoe UI"/>
          <w:iCs/>
        </w:rPr>
        <w:t>.</w:t>
      </w:r>
      <w:r w:rsidRPr="0000292C">
        <w:rPr>
          <w:rFonts w:ascii="Segoe UI" w:hAnsi="Segoe UI" w:cs="Segoe UI"/>
          <w:iCs/>
        </w:rPr>
        <w:t xml:space="preserve"> </w:t>
      </w:r>
    </w:p>
    <w:p w14:paraId="7AF4C425" w14:textId="7721F689" w:rsidR="00556ED2" w:rsidRPr="0000292C" w:rsidRDefault="00A22EA3" w:rsidP="00A22EA3">
      <w:pPr>
        <w:pStyle w:val="ListParagraph"/>
        <w:numPr>
          <w:ilvl w:val="1"/>
          <w:numId w:val="10"/>
        </w:numPr>
        <w:spacing w:after="120"/>
        <w:jc w:val="both"/>
        <w:rPr>
          <w:rFonts w:ascii="Segoe UI" w:hAnsi="Segoe UI" w:cs="Segoe UI"/>
          <w:b/>
        </w:rPr>
      </w:pPr>
      <w:r>
        <w:rPr>
          <w:rFonts w:ascii="Segoe UI" w:hAnsi="Segoe UI" w:cs="Segoe UI"/>
          <w:iCs/>
        </w:rPr>
        <w:t>T</w:t>
      </w:r>
      <w:r w:rsidR="0090446A">
        <w:rPr>
          <w:rFonts w:ascii="Segoe UI" w:hAnsi="Segoe UI" w:cs="Segoe UI"/>
          <w:iCs/>
        </w:rPr>
        <w:t xml:space="preserve">he Committee </w:t>
      </w:r>
      <w:r>
        <w:rPr>
          <w:rFonts w:ascii="Segoe UI" w:hAnsi="Segoe UI" w:cs="Segoe UI"/>
          <w:iCs/>
        </w:rPr>
        <w:t xml:space="preserve">will be </w:t>
      </w:r>
      <w:r w:rsidR="0000292C" w:rsidRPr="0000292C">
        <w:rPr>
          <w:rFonts w:ascii="Segoe UI" w:hAnsi="Segoe UI" w:cs="Segoe UI"/>
          <w:iCs/>
        </w:rPr>
        <w:t xml:space="preserve">closely </w:t>
      </w:r>
      <w:r w:rsidR="0090446A">
        <w:rPr>
          <w:rFonts w:ascii="Segoe UI" w:hAnsi="Segoe UI" w:cs="Segoe UI"/>
          <w:iCs/>
        </w:rPr>
        <w:t xml:space="preserve">scrutinising </w:t>
      </w:r>
      <w:r w:rsidR="0000292C" w:rsidRPr="0000292C">
        <w:rPr>
          <w:rFonts w:ascii="Segoe UI" w:hAnsi="Segoe UI" w:cs="Segoe UI"/>
          <w:iCs/>
        </w:rPr>
        <w:t>the</w:t>
      </w:r>
      <w:r w:rsidR="0090446A">
        <w:rPr>
          <w:rFonts w:ascii="Segoe UI" w:hAnsi="Segoe UI" w:cs="Segoe UI"/>
          <w:iCs/>
        </w:rPr>
        <w:t xml:space="preserve"> financial position, financial outlook, and </w:t>
      </w:r>
      <w:r w:rsidR="00642EDC">
        <w:rPr>
          <w:rFonts w:ascii="Segoe UI" w:hAnsi="Segoe UI" w:cs="Segoe UI"/>
          <w:iCs/>
        </w:rPr>
        <w:t xml:space="preserve">the level of </w:t>
      </w:r>
      <w:r w:rsidR="0090446A">
        <w:rPr>
          <w:rFonts w:ascii="Segoe UI" w:hAnsi="Segoe UI" w:cs="Segoe UI"/>
          <w:iCs/>
        </w:rPr>
        <w:t>financial risk</w:t>
      </w:r>
      <w:r w:rsidR="0000292C" w:rsidRPr="0000292C">
        <w:rPr>
          <w:rFonts w:ascii="Segoe UI" w:hAnsi="Segoe UI" w:cs="Segoe UI"/>
          <w:iCs/>
        </w:rPr>
        <w:t xml:space="preserve"> </w:t>
      </w:r>
      <w:r w:rsidR="00642EDC">
        <w:rPr>
          <w:rFonts w:ascii="Segoe UI" w:hAnsi="Segoe UI" w:cs="Segoe UI"/>
          <w:iCs/>
        </w:rPr>
        <w:t xml:space="preserve">over the </w:t>
      </w:r>
      <w:r w:rsidR="0000292C" w:rsidRPr="0000292C">
        <w:rPr>
          <w:rFonts w:ascii="Segoe UI" w:hAnsi="Segoe UI" w:cs="Segoe UI"/>
          <w:iCs/>
        </w:rPr>
        <w:t>next few months</w:t>
      </w:r>
      <w:r w:rsidR="00642EDC">
        <w:rPr>
          <w:rFonts w:ascii="Segoe UI" w:hAnsi="Segoe UI" w:cs="Segoe UI"/>
          <w:iCs/>
        </w:rPr>
        <w:t xml:space="preserve"> to feed into the assessment of the Trust’s full-year forecast (from Month 3)</w:t>
      </w:r>
      <w:r w:rsidR="0000292C" w:rsidRPr="0000292C">
        <w:rPr>
          <w:rFonts w:ascii="Segoe UI" w:hAnsi="Segoe UI" w:cs="Segoe UI"/>
          <w:iCs/>
        </w:rPr>
        <w:t xml:space="preserve">. </w:t>
      </w:r>
    </w:p>
    <w:p w14:paraId="44D40431" w14:textId="77777777" w:rsidR="006E6E3E" w:rsidRDefault="006E6E3E" w:rsidP="00300635">
      <w:pPr>
        <w:spacing w:after="120"/>
        <w:jc w:val="both"/>
        <w:rPr>
          <w:rFonts w:ascii="Segoe UI" w:hAnsi="Segoe UI" w:cs="Segoe UI"/>
          <w:b/>
        </w:rPr>
      </w:pPr>
    </w:p>
    <w:p w14:paraId="0D4D55F2" w14:textId="77777777" w:rsidR="00243AE4" w:rsidRDefault="00243AE4">
      <w:pPr>
        <w:rPr>
          <w:rFonts w:ascii="Segoe UI" w:hAnsi="Segoe UI" w:cs="Segoe UI"/>
          <w:b/>
        </w:rPr>
      </w:pPr>
      <w:r>
        <w:rPr>
          <w:rFonts w:ascii="Segoe UI" w:hAnsi="Segoe UI" w:cs="Segoe UI"/>
          <w:b/>
        </w:rPr>
        <w:br w:type="page"/>
      </w:r>
    </w:p>
    <w:p w14:paraId="619D07D9" w14:textId="0C1B45B1" w:rsidR="00551AD9" w:rsidRPr="00D9573C" w:rsidRDefault="00154D4F" w:rsidP="00300635">
      <w:pPr>
        <w:spacing w:after="120"/>
        <w:jc w:val="both"/>
        <w:rPr>
          <w:rFonts w:ascii="Segoe UI" w:hAnsi="Segoe UI" w:cs="Segoe UI"/>
          <w:b/>
        </w:rPr>
      </w:pPr>
      <w:r w:rsidRPr="00D9573C">
        <w:rPr>
          <w:rFonts w:ascii="Segoe UI" w:hAnsi="Segoe UI" w:cs="Segoe UI"/>
          <w:b/>
        </w:rPr>
        <w:lastRenderedPageBreak/>
        <w:t>To Advise</w:t>
      </w:r>
      <w:r w:rsidR="0000267F" w:rsidRPr="00D9573C">
        <w:rPr>
          <w:rFonts w:ascii="Segoe UI" w:hAnsi="Segoe UI" w:cs="Segoe UI"/>
          <w:b/>
        </w:rPr>
        <w:t xml:space="preserve"> (to </w:t>
      </w:r>
      <w:r w:rsidR="00086A88" w:rsidRPr="00D9573C">
        <w:rPr>
          <w:rFonts w:ascii="Segoe UI" w:hAnsi="Segoe UI" w:cs="Segoe UI"/>
          <w:b/>
        </w:rPr>
        <w:t>monitor</w:t>
      </w:r>
      <w:r w:rsidR="0000267F" w:rsidRPr="00D9573C">
        <w:rPr>
          <w:rFonts w:ascii="Segoe UI" w:hAnsi="Segoe UI" w:cs="Segoe UI"/>
          <w:b/>
        </w:rPr>
        <w:t>)</w:t>
      </w:r>
    </w:p>
    <w:p w14:paraId="5E00691B" w14:textId="77777777" w:rsidR="00CF5705" w:rsidRPr="00CF5705" w:rsidRDefault="00CF5705" w:rsidP="00300635">
      <w:pPr>
        <w:spacing w:after="120"/>
        <w:jc w:val="both"/>
        <w:rPr>
          <w:rFonts w:ascii="Segoe UI" w:hAnsi="Segoe UI" w:cs="Segoe UI"/>
          <w:iCs/>
        </w:rPr>
      </w:pPr>
      <w:r w:rsidRPr="00CF5705">
        <w:rPr>
          <w:rFonts w:ascii="Segoe UI" w:hAnsi="Segoe UI" w:cs="Segoe UI"/>
          <w:iCs/>
        </w:rPr>
        <w:t>The Board is asked to note the following:</w:t>
      </w:r>
    </w:p>
    <w:p w14:paraId="5D2DFCE8" w14:textId="362F9580" w:rsidR="00764121" w:rsidRDefault="00764121" w:rsidP="00300635">
      <w:pPr>
        <w:pStyle w:val="ListParagraph"/>
        <w:numPr>
          <w:ilvl w:val="0"/>
          <w:numId w:val="9"/>
        </w:numPr>
        <w:spacing w:after="120"/>
        <w:jc w:val="both"/>
        <w:rPr>
          <w:rFonts w:ascii="Segoe UI" w:hAnsi="Segoe UI" w:cs="Segoe UI"/>
        </w:rPr>
      </w:pPr>
      <w:r>
        <w:rPr>
          <w:rFonts w:ascii="Segoe UI" w:hAnsi="Segoe UI" w:cs="Segoe UI"/>
        </w:rPr>
        <w:t xml:space="preserve">After two months, the </w:t>
      </w:r>
      <w:r w:rsidRPr="00C30879">
        <w:rPr>
          <w:rFonts w:ascii="Segoe UI" w:hAnsi="Segoe UI" w:cs="Segoe UI"/>
          <w:b/>
          <w:bCs/>
        </w:rPr>
        <w:t>headline financial position</w:t>
      </w:r>
      <w:r>
        <w:rPr>
          <w:rFonts w:ascii="Segoe UI" w:hAnsi="Segoe UI" w:cs="Segoe UI"/>
        </w:rPr>
        <w:t xml:space="preserve"> is on Plan. However, there are a </w:t>
      </w:r>
      <w:r w:rsidR="00E62E7E">
        <w:rPr>
          <w:rFonts w:ascii="Segoe UI" w:hAnsi="Segoe UI" w:cs="Segoe UI"/>
        </w:rPr>
        <w:t xml:space="preserve">small </w:t>
      </w:r>
      <w:r>
        <w:rPr>
          <w:rFonts w:ascii="Segoe UI" w:hAnsi="Segoe UI" w:cs="Segoe UI"/>
        </w:rPr>
        <w:t xml:space="preserve">number of underlying over and underspends which </w:t>
      </w:r>
      <w:r w:rsidR="00495D2F">
        <w:rPr>
          <w:rFonts w:ascii="Segoe UI" w:hAnsi="Segoe UI" w:cs="Segoe UI"/>
        </w:rPr>
        <w:t xml:space="preserve">are </w:t>
      </w:r>
      <w:r>
        <w:rPr>
          <w:rFonts w:ascii="Segoe UI" w:hAnsi="Segoe UI" w:cs="Segoe UI"/>
        </w:rPr>
        <w:t>offset</w:t>
      </w:r>
      <w:r w:rsidR="00495D2F">
        <w:rPr>
          <w:rFonts w:ascii="Segoe UI" w:hAnsi="Segoe UI" w:cs="Segoe UI"/>
        </w:rPr>
        <w:t>ting</w:t>
      </w:r>
      <w:r>
        <w:rPr>
          <w:rFonts w:ascii="Segoe UI" w:hAnsi="Segoe UI" w:cs="Segoe UI"/>
        </w:rPr>
        <w:t xml:space="preserve"> to create this position. </w:t>
      </w:r>
    </w:p>
    <w:p w14:paraId="1958E44B" w14:textId="77777777" w:rsidR="00495D2F" w:rsidRDefault="00C30879" w:rsidP="00241F10">
      <w:pPr>
        <w:pStyle w:val="ListParagraph"/>
        <w:numPr>
          <w:ilvl w:val="1"/>
          <w:numId w:val="9"/>
        </w:numPr>
        <w:spacing w:after="120"/>
        <w:jc w:val="both"/>
        <w:rPr>
          <w:rFonts w:ascii="Segoe UI" w:hAnsi="Segoe UI" w:cs="Segoe UI"/>
        </w:rPr>
      </w:pPr>
      <w:r>
        <w:rPr>
          <w:rFonts w:ascii="Segoe UI" w:hAnsi="Segoe UI" w:cs="Segoe UI"/>
        </w:rPr>
        <w:t>V</w:t>
      </w:r>
      <w:r w:rsidR="00764121">
        <w:rPr>
          <w:rFonts w:ascii="Segoe UI" w:hAnsi="Segoe UI" w:cs="Segoe UI"/>
        </w:rPr>
        <w:t>igilan</w:t>
      </w:r>
      <w:r>
        <w:rPr>
          <w:rFonts w:ascii="Segoe UI" w:hAnsi="Segoe UI" w:cs="Segoe UI"/>
        </w:rPr>
        <w:t xml:space="preserve">ce is required, </w:t>
      </w:r>
      <w:r w:rsidR="00764121">
        <w:rPr>
          <w:rFonts w:ascii="Segoe UI" w:hAnsi="Segoe UI" w:cs="Segoe UI"/>
        </w:rPr>
        <w:t xml:space="preserve">as overspends tend to </w:t>
      </w:r>
      <w:r>
        <w:rPr>
          <w:rFonts w:ascii="Segoe UI" w:hAnsi="Segoe UI" w:cs="Segoe UI"/>
        </w:rPr>
        <w:t xml:space="preserve">take </w:t>
      </w:r>
      <w:r w:rsidR="00495D2F">
        <w:rPr>
          <w:rFonts w:ascii="Segoe UI" w:hAnsi="Segoe UI" w:cs="Segoe UI"/>
        </w:rPr>
        <w:t xml:space="preserve">some </w:t>
      </w:r>
      <w:r>
        <w:rPr>
          <w:rFonts w:ascii="Segoe UI" w:hAnsi="Segoe UI" w:cs="Segoe UI"/>
        </w:rPr>
        <w:t xml:space="preserve">time </w:t>
      </w:r>
      <w:r w:rsidR="00764121">
        <w:rPr>
          <w:rFonts w:ascii="Segoe UI" w:hAnsi="Segoe UI" w:cs="Segoe UI"/>
        </w:rPr>
        <w:t>to address</w:t>
      </w:r>
      <w:r w:rsidR="00E62E7E">
        <w:rPr>
          <w:rFonts w:ascii="Segoe UI" w:hAnsi="Segoe UI" w:cs="Segoe UI"/>
        </w:rPr>
        <w:t>,</w:t>
      </w:r>
      <w:r w:rsidR="00764121">
        <w:rPr>
          <w:rFonts w:ascii="Segoe UI" w:hAnsi="Segoe UI" w:cs="Segoe UI"/>
        </w:rPr>
        <w:t xml:space="preserve"> while underspends typically </w:t>
      </w:r>
      <w:r w:rsidR="00495D2F">
        <w:rPr>
          <w:rFonts w:ascii="Segoe UI" w:hAnsi="Segoe UI" w:cs="Segoe UI"/>
        </w:rPr>
        <w:t xml:space="preserve">yield </w:t>
      </w:r>
      <w:r w:rsidR="00E62E7E">
        <w:rPr>
          <w:rFonts w:ascii="Segoe UI" w:hAnsi="Segoe UI" w:cs="Segoe UI"/>
        </w:rPr>
        <w:t>short</w:t>
      </w:r>
      <w:r>
        <w:rPr>
          <w:rFonts w:ascii="Segoe UI" w:hAnsi="Segoe UI" w:cs="Segoe UI"/>
        </w:rPr>
        <w:t>-</w:t>
      </w:r>
      <w:r w:rsidR="00E62E7E">
        <w:rPr>
          <w:rFonts w:ascii="Segoe UI" w:hAnsi="Segoe UI" w:cs="Segoe UI"/>
        </w:rPr>
        <w:t>term</w:t>
      </w:r>
      <w:r>
        <w:rPr>
          <w:rFonts w:ascii="Segoe UI" w:hAnsi="Segoe UI" w:cs="Segoe UI"/>
        </w:rPr>
        <w:t xml:space="preserve"> </w:t>
      </w:r>
      <w:r w:rsidR="00E62E7E">
        <w:rPr>
          <w:rFonts w:ascii="Segoe UI" w:hAnsi="Segoe UI" w:cs="Segoe UI"/>
        </w:rPr>
        <w:t xml:space="preserve">financial </w:t>
      </w:r>
      <w:r>
        <w:rPr>
          <w:rFonts w:ascii="Segoe UI" w:hAnsi="Segoe UI" w:cs="Segoe UI"/>
        </w:rPr>
        <w:t>benefits</w:t>
      </w:r>
      <w:r w:rsidR="00764121">
        <w:rPr>
          <w:rFonts w:ascii="Segoe UI" w:hAnsi="Segoe UI" w:cs="Segoe UI"/>
        </w:rPr>
        <w:t xml:space="preserve">. </w:t>
      </w:r>
    </w:p>
    <w:p w14:paraId="070D1965" w14:textId="77777777" w:rsidR="00495D2F" w:rsidRDefault="00764121" w:rsidP="00495D2F">
      <w:pPr>
        <w:pStyle w:val="ListParagraph"/>
        <w:numPr>
          <w:ilvl w:val="1"/>
          <w:numId w:val="9"/>
        </w:numPr>
        <w:spacing w:after="120"/>
        <w:jc w:val="both"/>
        <w:rPr>
          <w:rFonts w:ascii="Segoe UI" w:hAnsi="Segoe UI" w:cs="Segoe UI"/>
        </w:rPr>
      </w:pPr>
      <w:r>
        <w:rPr>
          <w:rFonts w:ascii="Segoe UI" w:hAnsi="Segoe UI" w:cs="Segoe UI"/>
        </w:rPr>
        <w:t xml:space="preserve">The </w:t>
      </w:r>
      <w:r w:rsidR="00495D2F">
        <w:rPr>
          <w:rFonts w:ascii="Segoe UI" w:hAnsi="Segoe UI" w:cs="Segoe UI"/>
        </w:rPr>
        <w:t>Finance team will</w:t>
      </w:r>
      <w:r>
        <w:rPr>
          <w:rFonts w:ascii="Segoe UI" w:hAnsi="Segoe UI" w:cs="Segoe UI"/>
        </w:rPr>
        <w:t xml:space="preserve"> </w:t>
      </w:r>
      <w:r w:rsidR="00495D2F">
        <w:rPr>
          <w:rFonts w:ascii="Segoe UI" w:hAnsi="Segoe UI" w:cs="Segoe UI"/>
        </w:rPr>
        <w:t xml:space="preserve">shortly be </w:t>
      </w:r>
      <w:r>
        <w:rPr>
          <w:rFonts w:ascii="Segoe UI" w:hAnsi="Segoe UI" w:cs="Segoe UI"/>
        </w:rPr>
        <w:t>prepar</w:t>
      </w:r>
      <w:r w:rsidR="00495D2F">
        <w:rPr>
          <w:rFonts w:ascii="Segoe UI" w:hAnsi="Segoe UI" w:cs="Segoe UI"/>
        </w:rPr>
        <w:t>ing the first</w:t>
      </w:r>
      <w:r>
        <w:rPr>
          <w:rFonts w:ascii="Segoe UI" w:hAnsi="Segoe UI" w:cs="Segoe UI"/>
        </w:rPr>
        <w:t xml:space="preserve"> </w:t>
      </w:r>
      <w:r w:rsidRPr="00C30879">
        <w:rPr>
          <w:rFonts w:ascii="Segoe UI" w:hAnsi="Segoe UI" w:cs="Segoe UI"/>
          <w:b/>
          <w:bCs/>
        </w:rPr>
        <w:t>FY forecast</w:t>
      </w:r>
      <w:r>
        <w:rPr>
          <w:rFonts w:ascii="Segoe UI" w:hAnsi="Segoe UI" w:cs="Segoe UI"/>
        </w:rPr>
        <w:t xml:space="preserve"> for this financial year</w:t>
      </w:r>
      <w:r w:rsidR="00495D2F">
        <w:rPr>
          <w:rFonts w:ascii="Segoe UI" w:hAnsi="Segoe UI" w:cs="Segoe UI"/>
        </w:rPr>
        <w:t xml:space="preserve">. During this process, the Chief Financial Officer will take stock of </w:t>
      </w:r>
      <w:r w:rsidR="00C30879">
        <w:rPr>
          <w:rFonts w:ascii="Segoe UI" w:hAnsi="Segoe UI" w:cs="Segoe UI"/>
        </w:rPr>
        <w:t xml:space="preserve">the </w:t>
      </w:r>
      <w:r w:rsidR="00E62E7E">
        <w:rPr>
          <w:rFonts w:ascii="Segoe UI" w:hAnsi="Segoe UI" w:cs="Segoe UI"/>
        </w:rPr>
        <w:t xml:space="preserve">overall </w:t>
      </w:r>
      <w:r w:rsidR="00C30879">
        <w:rPr>
          <w:rFonts w:ascii="Segoe UI" w:hAnsi="Segoe UI" w:cs="Segoe UI"/>
        </w:rPr>
        <w:t>risk</w:t>
      </w:r>
      <w:r w:rsidR="00E62E7E">
        <w:rPr>
          <w:rFonts w:ascii="Segoe UI" w:hAnsi="Segoe UI" w:cs="Segoe UI"/>
        </w:rPr>
        <w:t>s</w:t>
      </w:r>
      <w:r w:rsidR="00C30879">
        <w:rPr>
          <w:rFonts w:ascii="Segoe UI" w:hAnsi="Segoe UI" w:cs="Segoe UI"/>
        </w:rPr>
        <w:t xml:space="preserve"> to </w:t>
      </w:r>
      <w:r w:rsidR="00E62E7E">
        <w:rPr>
          <w:rFonts w:ascii="Segoe UI" w:hAnsi="Segoe UI" w:cs="Segoe UI"/>
        </w:rPr>
        <w:t xml:space="preserve">the </w:t>
      </w:r>
      <w:r w:rsidR="00C30879">
        <w:rPr>
          <w:rFonts w:ascii="Segoe UI" w:hAnsi="Segoe UI" w:cs="Segoe UI"/>
        </w:rPr>
        <w:t>delivery of the FY plan</w:t>
      </w:r>
      <w:r w:rsidR="00495D2F">
        <w:rPr>
          <w:rFonts w:ascii="Segoe UI" w:hAnsi="Segoe UI" w:cs="Segoe UI"/>
        </w:rPr>
        <w:t>.</w:t>
      </w:r>
    </w:p>
    <w:p w14:paraId="79EB2983" w14:textId="71963F8F" w:rsidR="00764121" w:rsidRDefault="00495D2F" w:rsidP="00495D2F">
      <w:pPr>
        <w:pStyle w:val="ListParagraph"/>
        <w:numPr>
          <w:ilvl w:val="1"/>
          <w:numId w:val="9"/>
        </w:numPr>
        <w:spacing w:after="120"/>
        <w:jc w:val="both"/>
        <w:rPr>
          <w:rFonts w:ascii="Segoe UI" w:hAnsi="Segoe UI" w:cs="Segoe UI"/>
        </w:rPr>
      </w:pPr>
      <w:r>
        <w:rPr>
          <w:rFonts w:ascii="Segoe UI" w:hAnsi="Segoe UI" w:cs="Segoe UI"/>
        </w:rPr>
        <w:t>The Committee will review the FY forecast at its next meeting</w:t>
      </w:r>
      <w:r w:rsidR="00764121">
        <w:rPr>
          <w:rFonts w:ascii="Segoe UI" w:hAnsi="Segoe UI" w:cs="Segoe UI"/>
        </w:rPr>
        <w:t>.</w:t>
      </w:r>
    </w:p>
    <w:p w14:paraId="7AEEE031" w14:textId="282A0B4C" w:rsidR="001B2869" w:rsidRDefault="00764121" w:rsidP="00300635">
      <w:pPr>
        <w:pStyle w:val="ListParagraph"/>
        <w:numPr>
          <w:ilvl w:val="0"/>
          <w:numId w:val="9"/>
        </w:numPr>
        <w:spacing w:after="120"/>
        <w:jc w:val="both"/>
        <w:rPr>
          <w:rFonts w:ascii="Segoe UI" w:hAnsi="Segoe UI" w:cs="Segoe UI"/>
        </w:rPr>
      </w:pPr>
      <w:r>
        <w:rPr>
          <w:rFonts w:ascii="Segoe UI" w:hAnsi="Segoe UI" w:cs="Segoe UI"/>
        </w:rPr>
        <w:t xml:space="preserve">The principal area of overspend </w:t>
      </w:r>
      <w:r w:rsidR="00C30879">
        <w:rPr>
          <w:rFonts w:ascii="Segoe UI" w:hAnsi="Segoe UI" w:cs="Segoe UI"/>
        </w:rPr>
        <w:t>continues to</w:t>
      </w:r>
      <w:r w:rsidR="00E62E7E">
        <w:rPr>
          <w:rFonts w:ascii="Segoe UI" w:hAnsi="Segoe UI" w:cs="Segoe UI"/>
        </w:rPr>
        <w:t xml:space="preserve"> be</w:t>
      </w:r>
      <w:r>
        <w:rPr>
          <w:rFonts w:ascii="Segoe UI" w:hAnsi="Segoe UI" w:cs="Segoe UI"/>
        </w:rPr>
        <w:t xml:space="preserve"> </w:t>
      </w:r>
      <w:r w:rsidRPr="00C30879">
        <w:rPr>
          <w:rFonts w:ascii="Segoe UI" w:hAnsi="Segoe UI" w:cs="Segoe UI"/>
          <w:b/>
          <w:bCs/>
        </w:rPr>
        <w:t>agency costs</w:t>
      </w:r>
      <w:r w:rsidR="00C30879">
        <w:rPr>
          <w:rFonts w:ascii="Segoe UI" w:hAnsi="Segoe UI" w:cs="Segoe UI"/>
        </w:rPr>
        <w:t xml:space="preserve">. </w:t>
      </w:r>
    </w:p>
    <w:p w14:paraId="6608A079" w14:textId="7F4AFD93" w:rsidR="008138CD" w:rsidRDefault="00C30879" w:rsidP="001B2869">
      <w:pPr>
        <w:pStyle w:val="ListParagraph"/>
        <w:numPr>
          <w:ilvl w:val="1"/>
          <w:numId w:val="9"/>
        </w:numPr>
        <w:spacing w:after="120"/>
        <w:jc w:val="both"/>
        <w:rPr>
          <w:rFonts w:ascii="Segoe UI" w:hAnsi="Segoe UI" w:cs="Segoe UI"/>
        </w:rPr>
      </w:pPr>
      <w:r>
        <w:rPr>
          <w:rFonts w:ascii="Segoe UI" w:hAnsi="Segoe UI" w:cs="Segoe UI"/>
        </w:rPr>
        <w:t>At th</w:t>
      </w:r>
      <w:r w:rsidR="007B2183">
        <w:rPr>
          <w:rFonts w:ascii="Segoe UI" w:hAnsi="Segoe UI" w:cs="Segoe UI"/>
        </w:rPr>
        <w:t>e end of May</w:t>
      </w:r>
      <w:r w:rsidR="008138CD">
        <w:rPr>
          <w:rFonts w:ascii="Segoe UI" w:hAnsi="Segoe UI" w:cs="Segoe UI"/>
        </w:rPr>
        <w:t xml:space="preserve">, total </w:t>
      </w:r>
      <w:r>
        <w:rPr>
          <w:rFonts w:ascii="Segoe UI" w:hAnsi="Segoe UI" w:cs="Segoe UI"/>
        </w:rPr>
        <w:t xml:space="preserve">agency </w:t>
      </w:r>
      <w:r w:rsidR="00624C4E">
        <w:rPr>
          <w:rFonts w:ascii="Segoe UI" w:hAnsi="Segoe UI" w:cs="Segoe UI"/>
        </w:rPr>
        <w:t>expenditure</w:t>
      </w:r>
      <w:r>
        <w:rPr>
          <w:rFonts w:ascii="Segoe UI" w:hAnsi="Segoe UI" w:cs="Segoe UI"/>
        </w:rPr>
        <w:t xml:space="preserve"> reached </w:t>
      </w:r>
      <w:r w:rsidR="008138CD">
        <w:rPr>
          <w:rFonts w:ascii="Segoe UI" w:hAnsi="Segoe UI" w:cs="Segoe UI"/>
        </w:rPr>
        <w:t>£6.7m</w:t>
      </w:r>
      <w:r>
        <w:rPr>
          <w:rFonts w:ascii="Segoe UI" w:hAnsi="Segoe UI" w:cs="Segoe UI"/>
        </w:rPr>
        <w:t>,</w:t>
      </w:r>
      <w:r w:rsidR="008138CD">
        <w:rPr>
          <w:rFonts w:ascii="Segoe UI" w:hAnsi="Segoe UI" w:cs="Segoe UI"/>
        </w:rPr>
        <w:t xml:space="preserve"> with medical agency accounting for c. 39% of this total. The target (cap) set for the Trust for the full year</w:t>
      </w:r>
      <w:r>
        <w:rPr>
          <w:rFonts w:ascii="Segoe UI" w:hAnsi="Segoe UI" w:cs="Segoe UI"/>
        </w:rPr>
        <w:t xml:space="preserve"> is £32.2m.</w:t>
      </w:r>
    </w:p>
    <w:p w14:paraId="676A135F" w14:textId="60785576" w:rsidR="00C30879" w:rsidRDefault="00762355" w:rsidP="001B2869">
      <w:pPr>
        <w:pStyle w:val="ListParagraph"/>
        <w:numPr>
          <w:ilvl w:val="1"/>
          <w:numId w:val="9"/>
        </w:numPr>
        <w:spacing w:after="120"/>
        <w:jc w:val="both"/>
        <w:rPr>
          <w:rFonts w:ascii="Segoe UI" w:hAnsi="Segoe UI" w:cs="Segoe UI"/>
        </w:rPr>
      </w:pPr>
      <w:r>
        <w:rPr>
          <w:rFonts w:ascii="Segoe UI" w:hAnsi="Segoe UI" w:cs="Segoe UI"/>
        </w:rPr>
        <w:t xml:space="preserve">The executive directors remain confident that further progress will be made this year to reduce the “unit cost” of temporary staffing by; better sourcing arrangements, revised contract terms, and by growing the supply and use of bank staff. However, to achieve the target, it will also be necessary for the volume of agency and locum staff usage to be reduced significantly - this is </w:t>
      </w:r>
      <w:r w:rsidR="00241F10">
        <w:rPr>
          <w:rFonts w:ascii="Segoe UI" w:hAnsi="Segoe UI" w:cs="Segoe UI"/>
        </w:rPr>
        <w:t>recognised</w:t>
      </w:r>
      <w:r>
        <w:rPr>
          <w:rFonts w:ascii="Segoe UI" w:hAnsi="Segoe UI" w:cs="Segoe UI"/>
        </w:rPr>
        <w:t xml:space="preserve"> to be a much greater challenge.</w:t>
      </w:r>
    </w:p>
    <w:p w14:paraId="6082B771" w14:textId="77777777" w:rsidR="00241F10" w:rsidRDefault="00A8258F" w:rsidP="00C60166">
      <w:pPr>
        <w:pStyle w:val="ListParagraph"/>
        <w:numPr>
          <w:ilvl w:val="0"/>
          <w:numId w:val="9"/>
        </w:numPr>
        <w:spacing w:after="120"/>
        <w:jc w:val="both"/>
        <w:rPr>
          <w:rFonts w:ascii="Segoe UI" w:hAnsi="Segoe UI" w:cs="Segoe UI"/>
        </w:rPr>
      </w:pPr>
      <w:r>
        <w:rPr>
          <w:rFonts w:ascii="Segoe UI" w:hAnsi="Segoe UI" w:cs="Segoe UI"/>
        </w:rPr>
        <w:t xml:space="preserve">Work continues to identify measures to deliver the full </w:t>
      </w:r>
      <w:r w:rsidRPr="00A8258F">
        <w:rPr>
          <w:rFonts w:ascii="Segoe UI" w:hAnsi="Segoe UI" w:cs="Segoe UI"/>
          <w:b/>
          <w:bCs/>
        </w:rPr>
        <w:t>cash-releasing cost improvement</w:t>
      </w:r>
      <w:r>
        <w:rPr>
          <w:rFonts w:ascii="Segoe UI" w:hAnsi="Segoe UI" w:cs="Segoe UI"/>
        </w:rPr>
        <w:t xml:space="preserve"> </w:t>
      </w:r>
      <w:r w:rsidRPr="00A8258F">
        <w:rPr>
          <w:rFonts w:ascii="Segoe UI" w:hAnsi="Segoe UI" w:cs="Segoe UI"/>
          <w:b/>
          <w:bCs/>
        </w:rPr>
        <w:t>target</w:t>
      </w:r>
      <w:r>
        <w:rPr>
          <w:rFonts w:ascii="Segoe UI" w:hAnsi="Segoe UI" w:cs="Segoe UI"/>
        </w:rPr>
        <w:t xml:space="preserve"> budget, which total £7.2m in this year. Of this total</w:t>
      </w:r>
      <w:r w:rsidR="00241F10">
        <w:rPr>
          <w:rFonts w:ascii="Segoe UI" w:hAnsi="Segoe UI" w:cs="Segoe UI"/>
        </w:rPr>
        <w:t>,</w:t>
      </w:r>
      <w:r>
        <w:rPr>
          <w:rFonts w:ascii="Segoe UI" w:hAnsi="Segoe UI" w:cs="Segoe UI"/>
        </w:rPr>
        <w:t xml:space="preserve"> £4.8m is assessed to be secure, leaving a net requirement of £2.4m to be found and delivered by March 2024.</w:t>
      </w:r>
      <w:r w:rsidR="00462818">
        <w:rPr>
          <w:rFonts w:ascii="Segoe UI" w:hAnsi="Segoe UI" w:cs="Segoe UI"/>
        </w:rPr>
        <w:t xml:space="preserve"> </w:t>
      </w:r>
    </w:p>
    <w:p w14:paraId="2A4B62EF" w14:textId="7E716D80" w:rsidR="00C30879" w:rsidRDefault="00462818" w:rsidP="00241F10">
      <w:pPr>
        <w:pStyle w:val="ListParagraph"/>
        <w:numPr>
          <w:ilvl w:val="1"/>
          <w:numId w:val="9"/>
        </w:numPr>
        <w:spacing w:after="120"/>
        <w:jc w:val="both"/>
        <w:rPr>
          <w:rFonts w:ascii="Segoe UI" w:hAnsi="Segoe UI" w:cs="Segoe UI"/>
        </w:rPr>
      </w:pPr>
      <w:r w:rsidRPr="00462818">
        <w:rPr>
          <w:rFonts w:ascii="Segoe UI" w:hAnsi="Segoe UI" w:cs="Segoe UI"/>
          <w:u w:val="single"/>
        </w:rPr>
        <w:t>It is important to note</w:t>
      </w:r>
      <w:r>
        <w:rPr>
          <w:rFonts w:ascii="Segoe UI" w:hAnsi="Segoe UI" w:cs="Segoe UI"/>
        </w:rPr>
        <w:t xml:space="preserve"> that savings targets are built into the budgets in equal monthly amounts over the year (a “straight line profile”). This means that the monthly financial performance statistics reviewed by FIC and the Board each month incorporate the impact of any shortfall in savings. </w:t>
      </w:r>
    </w:p>
    <w:p w14:paraId="001F30B4" w14:textId="11C45247" w:rsidR="0044492D" w:rsidRDefault="00DC2091" w:rsidP="00C60166">
      <w:pPr>
        <w:pStyle w:val="ListParagraph"/>
        <w:numPr>
          <w:ilvl w:val="0"/>
          <w:numId w:val="9"/>
        </w:numPr>
        <w:spacing w:after="120"/>
        <w:jc w:val="both"/>
        <w:rPr>
          <w:rFonts w:ascii="Segoe UI" w:hAnsi="Segoe UI" w:cs="Segoe UI"/>
        </w:rPr>
      </w:pPr>
      <w:r>
        <w:rPr>
          <w:rFonts w:ascii="Segoe UI" w:hAnsi="Segoe UI" w:cs="Segoe UI"/>
        </w:rPr>
        <w:t xml:space="preserve">The </w:t>
      </w:r>
      <w:r w:rsidRPr="001B2869">
        <w:rPr>
          <w:rFonts w:ascii="Segoe UI" w:hAnsi="Segoe UI" w:cs="Segoe UI"/>
          <w:b/>
          <w:bCs/>
        </w:rPr>
        <w:t>Psychiatric Intensive Care Unit</w:t>
      </w:r>
      <w:r>
        <w:rPr>
          <w:rFonts w:ascii="Segoe UI" w:hAnsi="Segoe UI" w:cs="Segoe UI"/>
        </w:rPr>
        <w:t xml:space="preserve"> (PICU) is expected to be handed over to the Trust for commissioning during August 2023, however </w:t>
      </w:r>
      <w:r w:rsidR="001B2869">
        <w:rPr>
          <w:rFonts w:ascii="Segoe UI" w:hAnsi="Segoe UI" w:cs="Segoe UI"/>
        </w:rPr>
        <w:t xml:space="preserve">the </w:t>
      </w:r>
      <w:r>
        <w:rPr>
          <w:rFonts w:ascii="Segoe UI" w:hAnsi="Segoe UI" w:cs="Segoe UI"/>
        </w:rPr>
        <w:t>recruitment of nurses to the new unit continues to be a significant challenge.</w:t>
      </w:r>
    </w:p>
    <w:p w14:paraId="59605DE4" w14:textId="1EFDC360" w:rsidR="00E925B3" w:rsidRDefault="001B2869" w:rsidP="00C60166">
      <w:pPr>
        <w:pStyle w:val="ListParagraph"/>
        <w:numPr>
          <w:ilvl w:val="0"/>
          <w:numId w:val="9"/>
        </w:numPr>
        <w:spacing w:after="120"/>
        <w:jc w:val="both"/>
        <w:rPr>
          <w:rFonts w:ascii="Segoe UI" w:hAnsi="Segoe UI" w:cs="Segoe UI"/>
        </w:rPr>
      </w:pPr>
      <w:r>
        <w:rPr>
          <w:rFonts w:ascii="Segoe UI" w:hAnsi="Segoe UI" w:cs="Segoe UI"/>
        </w:rPr>
        <w:lastRenderedPageBreak/>
        <w:t xml:space="preserve">The 2022 clinical systems outage, and subsequent deployment of replacement clinical systems </w:t>
      </w:r>
      <w:r w:rsidR="000B16E1">
        <w:rPr>
          <w:rFonts w:ascii="Segoe UI" w:hAnsi="Segoe UI" w:cs="Segoe UI"/>
        </w:rPr>
        <w:t>(</w:t>
      </w:r>
      <w:r>
        <w:rPr>
          <w:rFonts w:ascii="Segoe UI" w:hAnsi="Segoe UI" w:cs="Segoe UI"/>
        </w:rPr>
        <w:t>for both mental hea</w:t>
      </w:r>
      <w:r w:rsidR="00473AC4">
        <w:rPr>
          <w:rFonts w:ascii="Segoe UI" w:hAnsi="Segoe UI" w:cs="Segoe UI"/>
        </w:rPr>
        <w:t>l</w:t>
      </w:r>
      <w:r>
        <w:rPr>
          <w:rFonts w:ascii="Segoe UI" w:hAnsi="Segoe UI" w:cs="Segoe UI"/>
        </w:rPr>
        <w:t>th and community services</w:t>
      </w:r>
      <w:r w:rsidR="000B16E1">
        <w:rPr>
          <w:rFonts w:ascii="Segoe UI" w:hAnsi="Segoe UI" w:cs="Segoe UI"/>
        </w:rPr>
        <w:t>)</w:t>
      </w:r>
      <w:r>
        <w:rPr>
          <w:rFonts w:ascii="Segoe UI" w:hAnsi="Segoe UI" w:cs="Segoe UI"/>
        </w:rPr>
        <w:t xml:space="preserve">, continue </w:t>
      </w:r>
      <w:r w:rsidR="000B16E1">
        <w:rPr>
          <w:rFonts w:ascii="Segoe UI" w:hAnsi="Segoe UI" w:cs="Segoe UI"/>
        </w:rPr>
        <w:t xml:space="preserve">to create additional </w:t>
      </w:r>
      <w:r w:rsidR="00E925B3" w:rsidRPr="00241F10">
        <w:rPr>
          <w:rFonts w:ascii="Segoe UI" w:hAnsi="Segoe UI" w:cs="Segoe UI"/>
          <w:b/>
          <w:bCs/>
        </w:rPr>
        <w:t>information governance</w:t>
      </w:r>
      <w:r w:rsidR="00E925B3">
        <w:rPr>
          <w:rFonts w:ascii="Segoe UI" w:hAnsi="Segoe UI" w:cs="Segoe UI"/>
        </w:rPr>
        <w:t xml:space="preserve"> challenges for th</w:t>
      </w:r>
      <w:r w:rsidR="000B16E1">
        <w:rPr>
          <w:rFonts w:ascii="Segoe UI" w:hAnsi="Segoe UI" w:cs="Segoe UI"/>
        </w:rPr>
        <w:t>e Trust.</w:t>
      </w:r>
      <w:r w:rsidR="00E925B3">
        <w:rPr>
          <w:rFonts w:ascii="Segoe UI" w:hAnsi="Segoe UI" w:cs="Segoe UI"/>
        </w:rPr>
        <w:t xml:space="preserve"> </w:t>
      </w:r>
    </w:p>
    <w:p w14:paraId="29F6ECDD" w14:textId="2234D5FD" w:rsidR="00E925B3" w:rsidRDefault="00E925B3" w:rsidP="00E925B3">
      <w:pPr>
        <w:pStyle w:val="ListParagraph"/>
        <w:numPr>
          <w:ilvl w:val="1"/>
          <w:numId w:val="9"/>
        </w:numPr>
        <w:spacing w:after="120"/>
        <w:jc w:val="both"/>
        <w:rPr>
          <w:rFonts w:ascii="Segoe UI" w:hAnsi="Segoe UI" w:cs="Segoe UI"/>
        </w:rPr>
      </w:pPr>
      <w:r>
        <w:rPr>
          <w:rFonts w:ascii="Segoe UI" w:hAnsi="Segoe UI" w:cs="Segoe UI"/>
        </w:rPr>
        <w:t>Information incidents reported ha</w:t>
      </w:r>
      <w:r w:rsidR="00241F10">
        <w:rPr>
          <w:rFonts w:ascii="Segoe UI" w:hAnsi="Segoe UI" w:cs="Segoe UI"/>
        </w:rPr>
        <w:t>ve</w:t>
      </w:r>
      <w:r>
        <w:rPr>
          <w:rFonts w:ascii="Segoe UI" w:hAnsi="Segoe UI" w:cs="Segoe UI"/>
        </w:rPr>
        <w:t xml:space="preserve"> reduced significantly since the initial impact of the outage and no serious incident or reports have been recorded. </w:t>
      </w:r>
    </w:p>
    <w:p w14:paraId="1552061F" w14:textId="736FF03F" w:rsidR="00497C22" w:rsidRPr="00497C22" w:rsidRDefault="00497C22" w:rsidP="00497C22">
      <w:pPr>
        <w:pStyle w:val="ListParagraph"/>
        <w:numPr>
          <w:ilvl w:val="1"/>
          <w:numId w:val="9"/>
        </w:numPr>
        <w:spacing w:after="120"/>
        <w:jc w:val="both"/>
        <w:rPr>
          <w:rFonts w:ascii="Segoe UI" w:hAnsi="Segoe UI" w:cs="Segoe UI"/>
        </w:rPr>
      </w:pPr>
      <w:r w:rsidRPr="00497C22">
        <w:rPr>
          <w:rFonts w:ascii="Segoe UI" w:hAnsi="Segoe UI" w:cs="Segoe UI"/>
        </w:rPr>
        <w:t xml:space="preserve">Transition to </w:t>
      </w:r>
      <w:r>
        <w:rPr>
          <w:rFonts w:ascii="Segoe UI" w:hAnsi="Segoe UI" w:cs="Segoe UI"/>
        </w:rPr>
        <w:t xml:space="preserve">the new </w:t>
      </w:r>
      <w:r w:rsidRPr="00497C22">
        <w:rPr>
          <w:rFonts w:ascii="Segoe UI" w:hAnsi="Segoe UI" w:cs="Segoe UI"/>
        </w:rPr>
        <w:t xml:space="preserve">electronic records is </w:t>
      </w:r>
      <w:r>
        <w:rPr>
          <w:rFonts w:ascii="Segoe UI" w:hAnsi="Segoe UI" w:cs="Segoe UI"/>
        </w:rPr>
        <w:t xml:space="preserve">now </w:t>
      </w:r>
      <w:r w:rsidRPr="00497C22">
        <w:rPr>
          <w:rFonts w:ascii="Segoe UI" w:hAnsi="Segoe UI" w:cs="Segoe UI"/>
        </w:rPr>
        <w:t>advanced</w:t>
      </w:r>
      <w:r w:rsidR="00241F10">
        <w:rPr>
          <w:rFonts w:ascii="Segoe UI" w:hAnsi="Segoe UI" w:cs="Segoe UI"/>
        </w:rPr>
        <w:t>,</w:t>
      </w:r>
      <w:r w:rsidRPr="00497C22">
        <w:rPr>
          <w:rFonts w:ascii="Segoe UI" w:hAnsi="Segoe UI" w:cs="Segoe UI"/>
        </w:rPr>
        <w:t xml:space="preserve"> but system functionality is not yet fully implemented and </w:t>
      </w:r>
      <w:r>
        <w:rPr>
          <w:rFonts w:ascii="Segoe UI" w:hAnsi="Segoe UI" w:cs="Segoe UI"/>
        </w:rPr>
        <w:t xml:space="preserve">there is, by necessity, the </w:t>
      </w:r>
      <w:r w:rsidRPr="00497C22">
        <w:rPr>
          <w:rFonts w:ascii="Segoe UI" w:hAnsi="Segoe UI" w:cs="Segoe UI"/>
        </w:rPr>
        <w:t xml:space="preserve">continued use of paper health records in </w:t>
      </w:r>
      <w:r>
        <w:rPr>
          <w:rFonts w:ascii="Segoe UI" w:hAnsi="Segoe UI" w:cs="Segoe UI"/>
        </w:rPr>
        <w:t>c</w:t>
      </w:r>
      <w:r w:rsidRPr="00497C22">
        <w:rPr>
          <w:rFonts w:ascii="Segoe UI" w:hAnsi="Segoe UI" w:cs="Segoe UI"/>
        </w:rPr>
        <w:t xml:space="preserve">ommunity locations </w:t>
      </w:r>
      <w:r w:rsidR="00241F10">
        <w:rPr>
          <w:rFonts w:ascii="Segoe UI" w:hAnsi="Segoe UI" w:cs="Segoe UI"/>
        </w:rPr>
        <w:t xml:space="preserve">with consequential </w:t>
      </w:r>
      <w:r w:rsidR="003E7B24">
        <w:rPr>
          <w:rFonts w:ascii="Segoe UI" w:hAnsi="Segoe UI" w:cs="Segoe UI"/>
        </w:rPr>
        <w:t xml:space="preserve">records </w:t>
      </w:r>
      <w:r w:rsidRPr="00497C22">
        <w:rPr>
          <w:rFonts w:ascii="Segoe UI" w:hAnsi="Segoe UI" w:cs="Segoe UI"/>
        </w:rPr>
        <w:t xml:space="preserve">storage </w:t>
      </w:r>
      <w:r w:rsidR="00241F10">
        <w:rPr>
          <w:rFonts w:ascii="Segoe UI" w:hAnsi="Segoe UI" w:cs="Segoe UI"/>
        </w:rPr>
        <w:t>challenges</w:t>
      </w:r>
      <w:r w:rsidRPr="00497C22">
        <w:rPr>
          <w:rFonts w:ascii="Segoe UI" w:hAnsi="Segoe UI" w:cs="Segoe UI"/>
        </w:rPr>
        <w:t>.</w:t>
      </w:r>
    </w:p>
    <w:p w14:paraId="746D9986" w14:textId="666BFA22" w:rsidR="00D9573C" w:rsidRPr="00E26C0D" w:rsidRDefault="00497C22" w:rsidP="00497C22">
      <w:pPr>
        <w:pStyle w:val="ListParagraph"/>
        <w:numPr>
          <w:ilvl w:val="1"/>
          <w:numId w:val="9"/>
        </w:numPr>
        <w:spacing w:after="120"/>
        <w:jc w:val="both"/>
        <w:rPr>
          <w:rFonts w:ascii="Segoe UI" w:hAnsi="Segoe UI" w:cs="Segoe UI"/>
        </w:rPr>
      </w:pPr>
      <w:r>
        <w:rPr>
          <w:rFonts w:ascii="Segoe UI" w:hAnsi="Segoe UI" w:cs="Segoe UI"/>
        </w:rPr>
        <w:t>T</w:t>
      </w:r>
      <w:r w:rsidRPr="00497C22">
        <w:rPr>
          <w:rFonts w:ascii="Segoe UI" w:hAnsi="Segoe UI" w:cs="Segoe UI"/>
        </w:rPr>
        <w:t>imely access to clinical systems is much improved</w:t>
      </w:r>
      <w:r w:rsidR="003E7B24">
        <w:rPr>
          <w:rFonts w:ascii="Segoe UI" w:hAnsi="Segoe UI" w:cs="Segoe UI"/>
        </w:rPr>
        <w:t>. However,</w:t>
      </w:r>
      <w:r w:rsidRPr="00497C22">
        <w:rPr>
          <w:rFonts w:ascii="Segoe UI" w:hAnsi="Segoe UI" w:cs="Segoe UI"/>
        </w:rPr>
        <w:t xml:space="preserve"> minimising clinical risk and information risks associated with adequacy and accuracy of the information in clinical systems is an ongoing programme of work by the E</w:t>
      </w:r>
      <w:r>
        <w:rPr>
          <w:rFonts w:ascii="Segoe UI" w:hAnsi="Segoe UI" w:cs="Segoe UI"/>
        </w:rPr>
        <w:t xml:space="preserve">lectronic </w:t>
      </w:r>
      <w:r w:rsidRPr="00497C22">
        <w:rPr>
          <w:rFonts w:ascii="Segoe UI" w:hAnsi="Segoe UI" w:cs="Segoe UI"/>
        </w:rPr>
        <w:t>H</w:t>
      </w:r>
      <w:r>
        <w:rPr>
          <w:rFonts w:ascii="Segoe UI" w:hAnsi="Segoe UI" w:cs="Segoe UI"/>
        </w:rPr>
        <w:t xml:space="preserve">ealth </w:t>
      </w:r>
      <w:r w:rsidRPr="00497C22">
        <w:rPr>
          <w:rFonts w:ascii="Segoe UI" w:hAnsi="Segoe UI" w:cs="Segoe UI"/>
        </w:rPr>
        <w:t>R</w:t>
      </w:r>
      <w:r>
        <w:rPr>
          <w:rFonts w:ascii="Segoe UI" w:hAnsi="Segoe UI" w:cs="Segoe UI"/>
        </w:rPr>
        <w:t>ecords (EHR)</w:t>
      </w:r>
      <w:r w:rsidRPr="00497C22">
        <w:rPr>
          <w:rFonts w:ascii="Segoe UI" w:hAnsi="Segoe UI" w:cs="Segoe UI"/>
        </w:rPr>
        <w:t xml:space="preserve"> Team.</w:t>
      </w:r>
    </w:p>
    <w:p w14:paraId="469B9268" w14:textId="77777777" w:rsidR="003E7B24" w:rsidRDefault="003E7B24" w:rsidP="007B2183">
      <w:pPr>
        <w:spacing w:after="120"/>
        <w:jc w:val="both"/>
        <w:rPr>
          <w:rFonts w:ascii="Segoe UI" w:hAnsi="Segoe UI" w:cs="Segoe UI"/>
          <w:b/>
        </w:rPr>
      </w:pPr>
    </w:p>
    <w:p w14:paraId="5B0D7E2A" w14:textId="5767DD24" w:rsidR="007B2183" w:rsidRPr="00D9573C" w:rsidRDefault="007B2183" w:rsidP="007B2183">
      <w:pPr>
        <w:spacing w:after="120"/>
        <w:jc w:val="both"/>
        <w:rPr>
          <w:rFonts w:ascii="Segoe UI" w:hAnsi="Segoe UI" w:cs="Segoe UI"/>
          <w:b/>
        </w:rPr>
      </w:pPr>
      <w:r w:rsidRPr="00D9573C">
        <w:rPr>
          <w:rFonts w:ascii="Segoe UI" w:hAnsi="Segoe UI" w:cs="Segoe UI"/>
          <w:b/>
        </w:rPr>
        <w:t>For Assurance</w:t>
      </w:r>
      <w:r w:rsidR="0000267F" w:rsidRPr="00D9573C">
        <w:rPr>
          <w:rFonts w:ascii="Segoe UI" w:hAnsi="Segoe UI" w:cs="Segoe UI"/>
          <w:b/>
        </w:rPr>
        <w:t xml:space="preserve"> (to note)</w:t>
      </w:r>
    </w:p>
    <w:p w14:paraId="2FADFD15" w14:textId="77777777" w:rsidR="007B2183" w:rsidRPr="00E26C0D" w:rsidRDefault="007B2183" w:rsidP="007B2183">
      <w:pPr>
        <w:spacing w:after="120"/>
        <w:jc w:val="both"/>
        <w:rPr>
          <w:rFonts w:ascii="Segoe UI" w:hAnsi="Segoe UI" w:cs="Segoe UI"/>
          <w:iCs/>
        </w:rPr>
      </w:pPr>
      <w:r w:rsidRPr="00E26C0D">
        <w:rPr>
          <w:rFonts w:ascii="Segoe UI" w:hAnsi="Segoe UI" w:cs="Segoe UI"/>
          <w:iCs/>
        </w:rPr>
        <w:t>The Board is asked to note the following:</w:t>
      </w:r>
    </w:p>
    <w:p w14:paraId="40D2D0B7" w14:textId="77FF7D0B" w:rsidR="007B2183" w:rsidRDefault="00661953" w:rsidP="007B2183">
      <w:pPr>
        <w:pStyle w:val="ListParagraph"/>
        <w:numPr>
          <w:ilvl w:val="0"/>
          <w:numId w:val="8"/>
        </w:numPr>
        <w:spacing w:after="120"/>
        <w:jc w:val="both"/>
        <w:rPr>
          <w:rFonts w:ascii="Segoe UI" w:hAnsi="Segoe UI" w:cs="Segoe UI"/>
          <w:iCs/>
        </w:rPr>
      </w:pPr>
      <w:r w:rsidRPr="00637C21">
        <w:rPr>
          <w:rFonts w:ascii="Segoe UI" w:hAnsi="Segoe UI" w:cs="Segoe UI"/>
          <w:b/>
          <w:bCs/>
          <w:iCs/>
        </w:rPr>
        <w:t>Capital expenditure</w:t>
      </w:r>
      <w:r>
        <w:rPr>
          <w:rFonts w:ascii="Segoe UI" w:hAnsi="Segoe UI" w:cs="Segoe UI"/>
          <w:iCs/>
        </w:rPr>
        <w:t xml:space="preserve"> to the end of May is on Plan.  There are risks and opportunities which have the potential to impact on the FY forecast (of £17.7m) but these continue to be regarded as </w:t>
      </w:r>
      <w:r w:rsidR="00637C21">
        <w:rPr>
          <w:rFonts w:ascii="Segoe UI" w:hAnsi="Segoe UI" w:cs="Segoe UI"/>
          <w:iCs/>
        </w:rPr>
        <w:t xml:space="preserve">relatively modest and </w:t>
      </w:r>
      <w:r>
        <w:rPr>
          <w:rFonts w:ascii="Segoe UI" w:hAnsi="Segoe UI" w:cs="Segoe UI"/>
          <w:iCs/>
        </w:rPr>
        <w:t>manageable</w:t>
      </w:r>
      <w:r w:rsidR="007B2183" w:rsidRPr="00E26C0D">
        <w:rPr>
          <w:rFonts w:ascii="Segoe UI" w:hAnsi="Segoe UI" w:cs="Segoe UI"/>
          <w:iCs/>
        </w:rPr>
        <w:t>.</w:t>
      </w:r>
    </w:p>
    <w:p w14:paraId="1A40833C" w14:textId="458A2821" w:rsidR="00661953" w:rsidRDefault="00661953" w:rsidP="007B2183">
      <w:pPr>
        <w:pStyle w:val="ListParagraph"/>
        <w:numPr>
          <w:ilvl w:val="0"/>
          <w:numId w:val="8"/>
        </w:numPr>
        <w:spacing w:after="120"/>
        <w:jc w:val="both"/>
        <w:rPr>
          <w:rFonts w:ascii="Segoe UI" w:hAnsi="Segoe UI" w:cs="Segoe UI"/>
          <w:iCs/>
        </w:rPr>
      </w:pPr>
      <w:r>
        <w:rPr>
          <w:rFonts w:ascii="Segoe UI" w:hAnsi="Segoe UI" w:cs="Segoe UI"/>
          <w:iCs/>
        </w:rPr>
        <w:t xml:space="preserve">The </w:t>
      </w:r>
      <w:r w:rsidRPr="00661953">
        <w:rPr>
          <w:rFonts w:ascii="Segoe UI" w:hAnsi="Segoe UI" w:cs="Segoe UI"/>
          <w:iCs/>
        </w:rPr>
        <w:t>Director of Estates and Facilities</w:t>
      </w:r>
      <w:r>
        <w:rPr>
          <w:rFonts w:ascii="Segoe UI" w:hAnsi="Segoe UI" w:cs="Segoe UI"/>
          <w:iCs/>
        </w:rPr>
        <w:t xml:space="preserve"> is in the process of putting in place </w:t>
      </w:r>
      <w:r w:rsidRPr="00637C21">
        <w:rPr>
          <w:rFonts w:ascii="Segoe UI" w:hAnsi="Segoe UI" w:cs="Segoe UI"/>
          <w:b/>
          <w:bCs/>
          <w:iCs/>
        </w:rPr>
        <w:t>revised arrangements for managing capital projects</w:t>
      </w:r>
      <w:r>
        <w:rPr>
          <w:rFonts w:ascii="Segoe UI" w:hAnsi="Segoe UI" w:cs="Segoe UI"/>
          <w:iCs/>
        </w:rPr>
        <w:t>, to strengthen the delivery process and accountability for delivery. Capital projects are grouped into one of two categories - Improvement &amp; Transformational schemes or Operational Capital Schemes</w:t>
      </w:r>
      <w:r w:rsidR="00637C21">
        <w:rPr>
          <w:rFonts w:ascii="Segoe UI" w:hAnsi="Segoe UI" w:cs="Segoe UI"/>
          <w:iCs/>
        </w:rPr>
        <w:t xml:space="preserve"> – and e</w:t>
      </w:r>
      <w:r w:rsidR="00620AA5">
        <w:rPr>
          <w:rFonts w:ascii="Segoe UI" w:hAnsi="Segoe UI" w:cs="Segoe UI"/>
          <w:iCs/>
        </w:rPr>
        <w:t xml:space="preserve">ach </w:t>
      </w:r>
      <w:r w:rsidR="00637C21">
        <w:rPr>
          <w:rFonts w:ascii="Segoe UI" w:hAnsi="Segoe UI" w:cs="Segoe UI"/>
          <w:iCs/>
        </w:rPr>
        <w:t>group</w:t>
      </w:r>
      <w:r w:rsidR="00620AA5">
        <w:rPr>
          <w:rFonts w:ascii="Segoe UI" w:hAnsi="Segoe UI" w:cs="Segoe UI"/>
          <w:iCs/>
        </w:rPr>
        <w:t xml:space="preserve"> has </w:t>
      </w:r>
      <w:r w:rsidR="00637C21">
        <w:rPr>
          <w:rFonts w:ascii="Segoe UI" w:hAnsi="Segoe UI" w:cs="Segoe UI"/>
          <w:iCs/>
        </w:rPr>
        <w:t xml:space="preserve">now </w:t>
      </w:r>
      <w:r w:rsidR="00620AA5">
        <w:rPr>
          <w:rFonts w:ascii="Segoe UI" w:hAnsi="Segoe UI" w:cs="Segoe UI"/>
          <w:iCs/>
        </w:rPr>
        <w:t>been allocated to a senior estates manager</w:t>
      </w:r>
      <w:r w:rsidR="00637C21">
        <w:rPr>
          <w:rFonts w:ascii="Segoe UI" w:hAnsi="Segoe UI" w:cs="Segoe UI"/>
          <w:iCs/>
        </w:rPr>
        <w:t xml:space="preserve"> to oversee delivery</w:t>
      </w:r>
      <w:r w:rsidR="00620AA5">
        <w:rPr>
          <w:rFonts w:ascii="Segoe UI" w:hAnsi="Segoe UI" w:cs="Segoe UI"/>
          <w:iCs/>
        </w:rPr>
        <w:t>.</w:t>
      </w:r>
    </w:p>
    <w:p w14:paraId="218F9545" w14:textId="395E581A" w:rsidR="00B93003" w:rsidRDefault="000706B2" w:rsidP="007B2183">
      <w:pPr>
        <w:pStyle w:val="ListParagraph"/>
        <w:numPr>
          <w:ilvl w:val="0"/>
          <w:numId w:val="8"/>
        </w:numPr>
        <w:spacing w:after="120"/>
        <w:jc w:val="both"/>
        <w:rPr>
          <w:rFonts w:ascii="Segoe UI" w:hAnsi="Segoe UI" w:cs="Segoe UI"/>
          <w:iCs/>
        </w:rPr>
      </w:pPr>
      <w:r>
        <w:rPr>
          <w:rFonts w:ascii="Segoe UI" w:hAnsi="Segoe UI" w:cs="Segoe UI"/>
          <w:iCs/>
        </w:rPr>
        <w:t xml:space="preserve">The Trust has now procured and </w:t>
      </w:r>
      <w:r w:rsidR="007873B9">
        <w:rPr>
          <w:rFonts w:ascii="Segoe UI" w:hAnsi="Segoe UI" w:cs="Segoe UI"/>
          <w:iCs/>
        </w:rPr>
        <w:t>installed</w:t>
      </w:r>
      <w:r>
        <w:rPr>
          <w:rFonts w:ascii="Segoe UI" w:hAnsi="Segoe UI" w:cs="Segoe UI"/>
          <w:iCs/>
        </w:rPr>
        <w:t xml:space="preserve"> a </w:t>
      </w:r>
      <w:r w:rsidRPr="000706B2">
        <w:rPr>
          <w:rFonts w:ascii="Segoe UI" w:hAnsi="Segoe UI" w:cs="Segoe UI"/>
          <w:iCs/>
        </w:rPr>
        <w:t xml:space="preserve">Security Information and Event Management </w:t>
      </w:r>
      <w:r>
        <w:rPr>
          <w:rFonts w:ascii="Segoe UI" w:hAnsi="Segoe UI" w:cs="Segoe UI"/>
          <w:iCs/>
        </w:rPr>
        <w:t>system</w:t>
      </w:r>
      <w:r w:rsidR="007873B9">
        <w:rPr>
          <w:rFonts w:ascii="Segoe UI" w:hAnsi="Segoe UI" w:cs="Segoe UI"/>
          <w:iCs/>
        </w:rPr>
        <w:t xml:space="preserve"> and is in the process of introducing multi-factor authentication</w:t>
      </w:r>
      <w:r w:rsidR="00637C21">
        <w:rPr>
          <w:rFonts w:ascii="Segoe UI" w:hAnsi="Segoe UI" w:cs="Segoe UI"/>
          <w:iCs/>
        </w:rPr>
        <w:t xml:space="preserve"> for system access</w:t>
      </w:r>
      <w:r w:rsidR="007873B9">
        <w:rPr>
          <w:rFonts w:ascii="Segoe UI" w:hAnsi="Segoe UI" w:cs="Segoe UI"/>
          <w:iCs/>
        </w:rPr>
        <w:t xml:space="preserve">. These measures </w:t>
      </w:r>
      <w:r w:rsidR="00637C21">
        <w:rPr>
          <w:rFonts w:ascii="Segoe UI" w:hAnsi="Segoe UI" w:cs="Segoe UI"/>
          <w:iCs/>
        </w:rPr>
        <w:t xml:space="preserve">will </w:t>
      </w:r>
      <w:r w:rsidR="007873B9">
        <w:rPr>
          <w:rFonts w:ascii="Segoe UI" w:hAnsi="Segoe UI" w:cs="Segoe UI"/>
          <w:iCs/>
        </w:rPr>
        <w:t xml:space="preserve">further enhance the Trust’s </w:t>
      </w:r>
      <w:r w:rsidR="007873B9" w:rsidRPr="00637C21">
        <w:rPr>
          <w:rFonts w:ascii="Segoe UI" w:hAnsi="Segoe UI" w:cs="Segoe UI"/>
          <w:b/>
          <w:bCs/>
          <w:iCs/>
        </w:rPr>
        <w:t>cyber security</w:t>
      </w:r>
      <w:r w:rsidR="007873B9">
        <w:rPr>
          <w:rFonts w:ascii="Segoe UI" w:hAnsi="Segoe UI" w:cs="Segoe UI"/>
          <w:iCs/>
        </w:rPr>
        <w:t xml:space="preserve"> infrastructure and capability.</w:t>
      </w:r>
    </w:p>
    <w:p w14:paraId="6C0DAC96" w14:textId="68F4FC02" w:rsidR="00E5227D" w:rsidRPr="00E26C0D" w:rsidRDefault="00E5227D" w:rsidP="007B2183">
      <w:pPr>
        <w:pStyle w:val="ListParagraph"/>
        <w:numPr>
          <w:ilvl w:val="0"/>
          <w:numId w:val="8"/>
        </w:numPr>
        <w:spacing w:after="120"/>
        <w:jc w:val="both"/>
        <w:rPr>
          <w:rFonts w:ascii="Segoe UI" w:hAnsi="Segoe UI" w:cs="Segoe UI"/>
          <w:iCs/>
        </w:rPr>
      </w:pPr>
      <w:r>
        <w:rPr>
          <w:rFonts w:ascii="Segoe UI" w:hAnsi="Segoe UI" w:cs="Segoe UI"/>
          <w:iCs/>
        </w:rPr>
        <w:t xml:space="preserve">The Trust new </w:t>
      </w:r>
      <w:r w:rsidR="00771D65">
        <w:rPr>
          <w:rFonts w:ascii="Segoe UI" w:hAnsi="Segoe UI" w:cs="Segoe UI"/>
          <w:iCs/>
        </w:rPr>
        <w:t>H</w:t>
      </w:r>
      <w:r>
        <w:rPr>
          <w:rFonts w:ascii="Segoe UI" w:hAnsi="Segoe UI" w:cs="Segoe UI"/>
          <w:iCs/>
        </w:rPr>
        <w:t xml:space="preserve">ead of </w:t>
      </w:r>
      <w:r w:rsidRPr="00637C21">
        <w:rPr>
          <w:rFonts w:ascii="Segoe UI" w:hAnsi="Segoe UI" w:cs="Segoe UI"/>
          <w:b/>
          <w:bCs/>
          <w:iCs/>
        </w:rPr>
        <w:t>Procurement</w:t>
      </w:r>
      <w:r>
        <w:rPr>
          <w:rFonts w:ascii="Segoe UI" w:hAnsi="Segoe UI" w:cs="Segoe UI"/>
          <w:iCs/>
        </w:rPr>
        <w:t xml:space="preserve">, Jane Little, </w:t>
      </w:r>
      <w:r w:rsidR="00771D65">
        <w:rPr>
          <w:rFonts w:ascii="Segoe UI" w:hAnsi="Segoe UI" w:cs="Segoe UI"/>
          <w:iCs/>
        </w:rPr>
        <w:t xml:space="preserve">outlined a programme of initiatives she is introducing to enhance the value for money, improve internal customer service, and strengthen compliance with procurement </w:t>
      </w:r>
      <w:r w:rsidR="00771D65">
        <w:rPr>
          <w:rFonts w:ascii="Segoe UI" w:hAnsi="Segoe UI" w:cs="Segoe UI"/>
          <w:iCs/>
        </w:rPr>
        <w:lastRenderedPageBreak/>
        <w:t>policies and procedures.</w:t>
      </w:r>
      <w:r w:rsidR="00637C21">
        <w:rPr>
          <w:rFonts w:ascii="Segoe UI" w:hAnsi="Segoe UI" w:cs="Segoe UI"/>
          <w:iCs/>
        </w:rPr>
        <w:t xml:space="preserve"> These developments </w:t>
      </w:r>
      <w:proofErr w:type="gramStart"/>
      <w:r w:rsidR="00637C21">
        <w:rPr>
          <w:rFonts w:ascii="Segoe UI" w:hAnsi="Segoe UI" w:cs="Segoe UI"/>
          <w:iCs/>
        </w:rPr>
        <w:t>are considered to be</w:t>
      </w:r>
      <w:proofErr w:type="gramEnd"/>
      <w:r w:rsidR="00637C21">
        <w:rPr>
          <w:rFonts w:ascii="Segoe UI" w:hAnsi="Segoe UI" w:cs="Segoe UI"/>
          <w:iCs/>
        </w:rPr>
        <w:t xml:space="preserve"> very positive.</w:t>
      </w:r>
    </w:p>
    <w:p w14:paraId="0D7A52E4" w14:textId="77777777" w:rsidR="00ED33B1" w:rsidRDefault="00ED33B1" w:rsidP="00542C87">
      <w:pPr>
        <w:spacing w:after="120"/>
        <w:jc w:val="both"/>
        <w:rPr>
          <w:rFonts w:ascii="Segoe UI" w:hAnsi="Segoe UI" w:cs="Segoe UI"/>
          <w:b/>
        </w:rPr>
      </w:pPr>
    </w:p>
    <w:p w14:paraId="38AAB30B" w14:textId="1FE0C88B" w:rsidR="00556ED2" w:rsidRDefault="00154D4F" w:rsidP="00542C87">
      <w:pPr>
        <w:spacing w:after="120"/>
        <w:jc w:val="both"/>
        <w:rPr>
          <w:rFonts w:ascii="Segoe UI" w:hAnsi="Segoe UI" w:cs="Segoe UI"/>
          <w:bCs/>
        </w:rPr>
      </w:pPr>
      <w:r>
        <w:rPr>
          <w:rFonts w:ascii="Segoe UI" w:hAnsi="Segoe UI" w:cs="Segoe UI"/>
          <w:b/>
        </w:rPr>
        <w:t>Review of risks</w:t>
      </w:r>
    </w:p>
    <w:p w14:paraId="02F35189" w14:textId="77777777" w:rsidR="00637C21" w:rsidRDefault="00542C87" w:rsidP="00542C87">
      <w:pPr>
        <w:spacing w:after="120"/>
        <w:jc w:val="both"/>
        <w:rPr>
          <w:rFonts w:ascii="Segoe UI" w:hAnsi="Segoe UI" w:cs="Segoe UI"/>
          <w:bCs/>
        </w:rPr>
      </w:pPr>
      <w:r w:rsidRPr="00CB7A12">
        <w:rPr>
          <w:rFonts w:ascii="Segoe UI" w:hAnsi="Segoe UI" w:cs="Segoe UI"/>
          <w:bCs/>
        </w:rPr>
        <w:t xml:space="preserve">The Committee </w:t>
      </w:r>
      <w:r w:rsidR="00BE382F">
        <w:rPr>
          <w:rFonts w:ascii="Segoe UI" w:hAnsi="Segoe UI" w:cs="Segoe UI"/>
          <w:bCs/>
        </w:rPr>
        <w:t xml:space="preserve">routinely </w:t>
      </w:r>
      <w:r w:rsidRPr="00CB7A12">
        <w:rPr>
          <w:rFonts w:ascii="Segoe UI" w:hAnsi="Segoe UI" w:cs="Segoe UI"/>
          <w:bCs/>
        </w:rPr>
        <w:t>review</w:t>
      </w:r>
      <w:r w:rsidR="00BE382F">
        <w:rPr>
          <w:rFonts w:ascii="Segoe UI" w:hAnsi="Segoe UI" w:cs="Segoe UI"/>
          <w:bCs/>
        </w:rPr>
        <w:t>s all</w:t>
      </w:r>
      <w:r w:rsidRPr="00CB7A12">
        <w:rPr>
          <w:rFonts w:ascii="Segoe UI" w:hAnsi="Segoe UI" w:cs="Segoe UI"/>
          <w:bCs/>
        </w:rPr>
        <w:t xml:space="preserve"> </w:t>
      </w:r>
      <w:r w:rsidR="00424ACF" w:rsidRPr="00CB7A12">
        <w:rPr>
          <w:rFonts w:ascii="Segoe UI" w:hAnsi="Segoe UI" w:cs="Segoe UI"/>
          <w:bCs/>
        </w:rPr>
        <w:t xml:space="preserve">five </w:t>
      </w:r>
      <w:r w:rsidR="00BE382F">
        <w:rPr>
          <w:rFonts w:ascii="Segoe UI" w:hAnsi="Segoe UI" w:cs="Segoe UI"/>
          <w:bCs/>
        </w:rPr>
        <w:t>of the strategic (</w:t>
      </w:r>
      <w:r w:rsidRPr="00CB7A12">
        <w:rPr>
          <w:rFonts w:ascii="Segoe UI" w:hAnsi="Segoe UI" w:cs="Segoe UI"/>
          <w:bCs/>
        </w:rPr>
        <w:t>BAF</w:t>
      </w:r>
      <w:r w:rsidR="00BE382F">
        <w:rPr>
          <w:rFonts w:ascii="Segoe UI" w:hAnsi="Segoe UI" w:cs="Segoe UI"/>
          <w:bCs/>
        </w:rPr>
        <w:t>)</w:t>
      </w:r>
      <w:r w:rsidRPr="00CB7A12">
        <w:rPr>
          <w:rFonts w:ascii="Segoe UI" w:hAnsi="Segoe UI" w:cs="Segoe UI"/>
          <w:bCs/>
        </w:rPr>
        <w:t xml:space="preserve"> risks which </w:t>
      </w:r>
      <w:r w:rsidR="00BE382F">
        <w:rPr>
          <w:rFonts w:ascii="Segoe UI" w:hAnsi="Segoe UI" w:cs="Segoe UI"/>
          <w:bCs/>
        </w:rPr>
        <w:t>fall</w:t>
      </w:r>
      <w:r w:rsidR="00424ACF" w:rsidRPr="00CB7A12">
        <w:rPr>
          <w:rFonts w:ascii="Segoe UI" w:hAnsi="Segoe UI" w:cs="Segoe UI"/>
          <w:bCs/>
        </w:rPr>
        <w:t xml:space="preserve"> within its purview</w:t>
      </w:r>
      <w:r w:rsidR="00BE382F">
        <w:rPr>
          <w:rFonts w:ascii="Segoe UI" w:hAnsi="Segoe UI" w:cs="Segoe UI"/>
          <w:bCs/>
        </w:rPr>
        <w:t>. At its July meeting, it discussed the case for revising the drafting of the Major Projects risk (to be signed off at FIC’s next meeting)</w:t>
      </w:r>
      <w:r w:rsidR="00637C21">
        <w:rPr>
          <w:rFonts w:ascii="Segoe UI" w:hAnsi="Segoe UI" w:cs="Segoe UI"/>
          <w:bCs/>
        </w:rPr>
        <w:t>. It also</w:t>
      </w:r>
      <w:r w:rsidR="00424ACF" w:rsidRPr="00CB7A12">
        <w:rPr>
          <w:rFonts w:ascii="Segoe UI" w:hAnsi="Segoe UI" w:cs="Segoe UI"/>
          <w:bCs/>
        </w:rPr>
        <w:t xml:space="preserve"> </w:t>
      </w:r>
      <w:r w:rsidR="00BE382F">
        <w:rPr>
          <w:rFonts w:ascii="Segoe UI" w:hAnsi="Segoe UI" w:cs="Segoe UI"/>
          <w:bCs/>
        </w:rPr>
        <w:t xml:space="preserve">considered the case for adjusting the rating of the risk. </w:t>
      </w:r>
    </w:p>
    <w:p w14:paraId="27EB8C3E" w14:textId="4B8BB0C9" w:rsidR="00154D4F" w:rsidRDefault="00BE382F" w:rsidP="00542C87">
      <w:pPr>
        <w:spacing w:after="120"/>
        <w:jc w:val="both"/>
        <w:rPr>
          <w:rFonts w:ascii="Segoe UI" w:hAnsi="Segoe UI" w:cs="Segoe UI"/>
          <w:bCs/>
        </w:rPr>
      </w:pPr>
      <w:r>
        <w:rPr>
          <w:rFonts w:ascii="Segoe UI" w:hAnsi="Segoe UI" w:cs="Segoe UI"/>
          <w:bCs/>
        </w:rPr>
        <w:t xml:space="preserve">After discussion, the Committee concluded that no </w:t>
      </w:r>
      <w:r w:rsidR="00424ACF" w:rsidRPr="00E26C0D">
        <w:rPr>
          <w:rFonts w:ascii="Segoe UI" w:hAnsi="Segoe UI" w:cs="Segoe UI"/>
          <w:bCs/>
        </w:rPr>
        <w:t>immediate change to individual risk ratings</w:t>
      </w:r>
      <w:r>
        <w:rPr>
          <w:rFonts w:ascii="Segoe UI" w:hAnsi="Segoe UI" w:cs="Segoe UI"/>
          <w:bCs/>
        </w:rPr>
        <w:t xml:space="preserve"> were appro</w:t>
      </w:r>
      <w:r w:rsidR="00637C21">
        <w:rPr>
          <w:rFonts w:ascii="Segoe UI" w:hAnsi="Segoe UI" w:cs="Segoe UI"/>
          <w:bCs/>
        </w:rPr>
        <w:t>p</w:t>
      </w:r>
      <w:r>
        <w:rPr>
          <w:rFonts w:ascii="Segoe UI" w:hAnsi="Segoe UI" w:cs="Segoe UI"/>
          <w:bCs/>
        </w:rPr>
        <w:t>riate</w:t>
      </w:r>
      <w:r w:rsidR="00424ACF" w:rsidRPr="00E26C0D">
        <w:rPr>
          <w:rFonts w:ascii="Segoe UI" w:hAnsi="Segoe UI" w:cs="Segoe UI"/>
          <w:bCs/>
        </w:rPr>
        <w:t>.</w:t>
      </w:r>
      <w:r w:rsidR="00424ACF">
        <w:rPr>
          <w:rFonts w:ascii="Segoe UI" w:hAnsi="Segoe UI" w:cs="Segoe UI"/>
          <w:bCs/>
        </w:rPr>
        <w:t xml:space="preserve"> </w:t>
      </w:r>
    </w:p>
    <w:p w14:paraId="05FBB5E4" w14:textId="28CF3074" w:rsidR="00CB7A12" w:rsidRDefault="00CB7A12">
      <w:pPr>
        <w:rPr>
          <w:rFonts w:ascii="Segoe UI" w:hAnsi="Segoe UI" w:cs="Segoe UI"/>
          <w:b/>
        </w:rPr>
      </w:pPr>
    </w:p>
    <w:p w14:paraId="126FF487" w14:textId="72641EBA" w:rsidR="00154D4F" w:rsidRDefault="00154D4F" w:rsidP="00300635">
      <w:pPr>
        <w:spacing w:after="120"/>
        <w:jc w:val="both"/>
        <w:rPr>
          <w:rFonts w:ascii="Segoe UI" w:hAnsi="Segoe UI" w:cs="Segoe UI"/>
          <w:bCs/>
        </w:rPr>
      </w:pPr>
      <w:r>
        <w:rPr>
          <w:rFonts w:ascii="Segoe UI" w:hAnsi="Segoe UI" w:cs="Segoe UI"/>
          <w:b/>
        </w:rPr>
        <w:t>Sharing of learning</w:t>
      </w:r>
    </w:p>
    <w:p w14:paraId="6C0495E3" w14:textId="56CEBEE9" w:rsidR="00154D4F" w:rsidRPr="005D30BE" w:rsidRDefault="005D30BE" w:rsidP="00300635">
      <w:pPr>
        <w:spacing w:after="120"/>
        <w:jc w:val="both"/>
        <w:rPr>
          <w:rFonts w:ascii="Segoe UI" w:hAnsi="Segoe UI" w:cs="Segoe UI"/>
          <w:bCs/>
        </w:rPr>
      </w:pPr>
      <w:r>
        <w:rPr>
          <w:rFonts w:ascii="Segoe UI" w:hAnsi="Segoe UI" w:cs="Segoe UI"/>
          <w:bCs/>
        </w:rPr>
        <w:t>None to note.</w:t>
      </w:r>
    </w:p>
    <w:p w14:paraId="06F7242C" w14:textId="77777777" w:rsidR="00154D4F" w:rsidRPr="00154D4F" w:rsidRDefault="00154D4F" w:rsidP="00300635">
      <w:pPr>
        <w:spacing w:after="120"/>
        <w:jc w:val="both"/>
        <w:rPr>
          <w:rFonts w:ascii="Segoe UI" w:hAnsi="Segoe UI" w:cs="Segoe UI"/>
          <w:bCs/>
        </w:rPr>
      </w:pPr>
    </w:p>
    <w:p w14:paraId="52336574" w14:textId="77777777" w:rsidR="0073522A" w:rsidRPr="00FA3993" w:rsidRDefault="0073522A" w:rsidP="00300635">
      <w:pPr>
        <w:spacing w:after="120"/>
        <w:jc w:val="both"/>
        <w:rPr>
          <w:rFonts w:ascii="Segoe UI" w:hAnsi="Segoe UI" w:cs="Segoe UI"/>
          <w:b/>
        </w:rPr>
      </w:pPr>
      <w:r w:rsidRPr="00FA3993">
        <w:rPr>
          <w:rFonts w:ascii="Segoe UI" w:hAnsi="Segoe UI" w:cs="Segoe UI"/>
          <w:b/>
        </w:rPr>
        <w:t>Recommendation</w:t>
      </w:r>
      <w:r w:rsidR="00F73BEE">
        <w:rPr>
          <w:rFonts w:ascii="Segoe UI" w:hAnsi="Segoe UI" w:cs="Segoe UI"/>
          <w:b/>
        </w:rPr>
        <w:t xml:space="preserve"> </w:t>
      </w:r>
    </w:p>
    <w:p w14:paraId="18C7F932" w14:textId="420999EC" w:rsidR="000A5A07" w:rsidRDefault="000A5A07" w:rsidP="00300635">
      <w:pPr>
        <w:spacing w:after="120"/>
        <w:jc w:val="both"/>
        <w:rPr>
          <w:rFonts w:ascii="Segoe UI" w:hAnsi="Segoe UI" w:cs="Segoe UI"/>
        </w:rPr>
      </w:pPr>
      <w:r w:rsidRPr="00ED33B1">
        <w:rPr>
          <w:rFonts w:ascii="Segoe UI" w:hAnsi="Segoe UI" w:cs="Segoe UI"/>
        </w:rPr>
        <w:t xml:space="preserve">The Board is asked to </w:t>
      </w:r>
      <w:r w:rsidR="005D30BE" w:rsidRPr="00ED33B1">
        <w:rPr>
          <w:rFonts w:ascii="Segoe UI" w:hAnsi="Segoe UI" w:cs="Segoe UI"/>
        </w:rPr>
        <w:t>note the above.</w:t>
      </w:r>
      <w:r>
        <w:rPr>
          <w:rFonts w:ascii="Segoe UI" w:hAnsi="Segoe UI" w:cs="Segoe UI"/>
        </w:rPr>
        <w:t xml:space="preserve">  </w:t>
      </w:r>
    </w:p>
    <w:p w14:paraId="4AAFB5C6" w14:textId="77777777" w:rsidR="005D3499" w:rsidRPr="00FA3993" w:rsidRDefault="005D3499" w:rsidP="00300635">
      <w:pPr>
        <w:spacing w:after="120"/>
        <w:jc w:val="both"/>
        <w:rPr>
          <w:rFonts w:ascii="Segoe UI" w:hAnsi="Segoe UI" w:cs="Segoe UI"/>
          <w:b/>
        </w:rPr>
      </w:pPr>
    </w:p>
    <w:p w14:paraId="51DD5920" w14:textId="68AD8EC9" w:rsidR="00FA3993" w:rsidRPr="005B5AD6" w:rsidRDefault="002619EF" w:rsidP="00300635">
      <w:pPr>
        <w:spacing w:after="120"/>
        <w:ind w:left="1440" w:hanging="1440"/>
        <w:jc w:val="both"/>
        <w:rPr>
          <w:rFonts w:ascii="Segoe UI" w:hAnsi="Segoe UI" w:cs="Segoe UI"/>
          <w:bCs/>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5B5AD6" w:rsidRPr="005B5AD6">
        <w:rPr>
          <w:rFonts w:ascii="Segoe UI" w:hAnsi="Segoe UI" w:cs="Segoe UI"/>
          <w:bCs/>
        </w:rPr>
        <w:t xml:space="preserve">Chris Hurst, </w:t>
      </w:r>
      <w:r w:rsidR="005B5AD6">
        <w:rPr>
          <w:rFonts w:ascii="Segoe UI" w:hAnsi="Segoe UI" w:cs="Segoe UI"/>
          <w:bCs/>
        </w:rPr>
        <w:t>Chair of Finance &amp; Investment Committee</w:t>
      </w:r>
    </w:p>
    <w:p w14:paraId="33B1058E" w14:textId="77777777" w:rsidR="00556ED2" w:rsidRPr="00D628E5" w:rsidRDefault="00556ED2" w:rsidP="0058507D">
      <w:pPr>
        <w:jc w:val="both"/>
        <w:rPr>
          <w:rFonts w:ascii="Segoe UI" w:hAnsi="Segoe UI" w:cs="Segoe UI"/>
          <w:i/>
          <w:sz w:val="20"/>
          <w:szCs w:val="20"/>
        </w:rPr>
      </w:pPr>
    </w:p>
    <w:p w14:paraId="644F6ADC" w14:textId="2F1D1529" w:rsidR="00EB3D86" w:rsidRPr="005D3EBB" w:rsidRDefault="00FA3993" w:rsidP="005D3EBB">
      <w:pPr>
        <w:numPr>
          <w:ilvl w:val="0"/>
          <w:numId w:val="4"/>
        </w:numPr>
        <w:jc w:val="both"/>
        <w:rPr>
          <w:rFonts w:ascii="Segoe UI" w:hAnsi="Segoe UI" w:cs="Segoe UI"/>
          <w:i/>
          <w:sz w:val="20"/>
          <w:szCs w:val="20"/>
        </w:rPr>
      </w:pPr>
      <w:r w:rsidRPr="00170E25">
        <w:rPr>
          <w:rFonts w:ascii="Segoe UI" w:hAnsi="Segoe UI" w:cs="Segoe UI"/>
          <w:bCs/>
          <w:i/>
          <w:sz w:val="20"/>
          <w:szCs w:val="20"/>
        </w:rPr>
        <w:t>Strategic Objectives</w:t>
      </w:r>
      <w:r w:rsidR="00C84B11" w:rsidRPr="00170E25">
        <w:rPr>
          <w:rFonts w:ascii="Segoe UI" w:hAnsi="Segoe UI" w:cs="Segoe UI"/>
          <w:bCs/>
          <w:i/>
          <w:sz w:val="20"/>
          <w:szCs w:val="20"/>
        </w:rPr>
        <w:t>/Priorities</w:t>
      </w:r>
      <w:r w:rsidR="00EB3D86" w:rsidRPr="00170E25">
        <w:rPr>
          <w:rFonts w:ascii="Segoe UI" w:hAnsi="Segoe UI" w:cs="Segoe UI"/>
          <w:bCs/>
          <w:i/>
          <w:sz w:val="20"/>
          <w:szCs w:val="20"/>
        </w:rPr>
        <w:t xml:space="preserve"> and strategic Board Assurance Framework (BAF) risk themes</w:t>
      </w:r>
      <w:r w:rsidRPr="00170E25">
        <w:rPr>
          <w:rFonts w:ascii="Segoe UI" w:hAnsi="Segoe UI" w:cs="Segoe UI"/>
          <w:bCs/>
          <w:i/>
          <w:sz w:val="20"/>
          <w:szCs w:val="20"/>
        </w:rPr>
        <w:t xml:space="preserve"> – this report relates to or provides assurance and evidence against the following</w:t>
      </w:r>
      <w:r w:rsidRPr="00FA3993">
        <w:rPr>
          <w:rFonts w:ascii="Segoe UI" w:hAnsi="Segoe UI" w:cs="Segoe UI"/>
          <w:i/>
          <w:sz w:val="20"/>
          <w:szCs w:val="20"/>
        </w:rPr>
        <w:t xml:space="preserve"> Strategic Objective(s)</w:t>
      </w:r>
      <w:r w:rsidR="00C84B11">
        <w:rPr>
          <w:rFonts w:ascii="Segoe UI" w:hAnsi="Segoe UI" w:cs="Segoe UI"/>
          <w:i/>
          <w:sz w:val="20"/>
          <w:szCs w:val="20"/>
        </w:rPr>
        <w:t>/Priority(ies)</w:t>
      </w:r>
      <w:r w:rsidRPr="00FA3993">
        <w:rPr>
          <w:rFonts w:ascii="Segoe UI" w:hAnsi="Segoe UI" w:cs="Segoe UI"/>
          <w:i/>
          <w:sz w:val="20"/>
          <w:szCs w:val="20"/>
        </w:rPr>
        <w:t xml:space="preserve"> of the Trust [OR N/A – no Strategic Objectives</w:t>
      </w:r>
      <w:r w:rsidR="00C84B11">
        <w:rPr>
          <w:rFonts w:ascii="Segoe UI" w:hAnsi="Segoe UI" w:cs="Segoe UI"/>
          <w:i/>
          <w:sz w:val="20"/>
          <w:szCs w:val="20"/>
        </w:rPr>
        <w:t>/Priorities</w:t>
      </w:r>
      <w:r w:rsidRPr="00FA3993">
        <w:rPr>
          <w:rFonts w:ascii="Segoe UI" w:hAnsi="Segoe UI" w:cs="Segoe UI"/>
          <w:i/>
          <w:sz w:val="20"/>
          <w:szCs w:val="20"/>
        </w:rPr>
        <w:t xml:space="preserve"> apply]</w:t>
      </w:r>
      <w:r w:rsidR="00170E25">
        <w:rPr>
          <w:rFonts w:ascii="Segoe UI" w:hAnsi="Segoe UI" w:cs="Segoe UI"/>
          <w:i/>
          <w:sz w:val="20"/>
          <w:szCs w:val="20"/>
        </w:rPr>
        <w:t>:</w:t>
      </w:r>
    </w:p>
    <w:p w14:paraId="55C36B36" w14:textId="77777777" w:rsidR="00FA3993" w:rsidRPr="00876856" w:rsidRDefault="00FA3993" w:rsidP="002250DE">
      <w:pPr>
        <w:jc w:val="both"/>
        <w:rPr>
          <w:rFonts w:ascii="Segoe UI" w:hAnsi="Segoe UI" w:cs="Segoe UI"/>
          <w:i/>
          <w:sz w:val="20"/>
          <w:szCs w:val="20"/>
        </w:rPr>
      </w:pPr>
    </w:p>
    <w:p w14:paraId="44F4E908" w14:textId="77777777" w:rsidR="00876856" w:rsidRDefault="00FA3993" w:rsidP="00876856">
      <w:pPr>
        <w:ind w:firstLine="720"/>
        <w:jc w:val="both"/>
        <w:rPr>
          <w:rFonts w:ascii="Segoe UI" w:hAnsi="Segoe UI" w:cs="Segoe UI"/>
          <w:i/>
          <w:sz w:val="20"/>
          <w:szCs w:val="20"/>
        </w:rPr>
      </w:pPr>
      <w:r w:rsidRPr="00876856">
        <w:rPr>
          <w:rFonts w:ascii="Segoe UI" w:hAnsi="Segoe UI" w:cs="Segoe UI"/>
          <w:i/>
          <w:sz w:val="20"/>
          <w:szCs w:val="20"/>
        </w:rPr>
        <w:t xml:space="preserve">3) </w:t>
      </w:r>
      <w:r w:rsidR="00876856" w:rsidRPr="00876856">
        <w:rPr>
          <w:rFonts w:ascii="Segoe UI" w:hAnsi="Segoe UI" w:cs="Segoe UI"/>
          <w:i/>
          <w:sz w:val="20"/>
          <w:szCs w:val="20"/>
        </w:rPr>
        <w:t>Sustainability – Make best use of our resources and protect the environment</w:t>
      </w:r>
    </w:p>
    <w:p w14:paraId="029CBFC3" w14:textId="77777777" w:rsidR="00EB3D86" w:rsidRPr="00876856" w:rsidRDefault="00EB3D86" w:rsidP="00EB3D86">
      <w:pPr>
        <w:ind w:left="1440"/>
        <w:jc w:val="both"/>
        <w:rPr>
          <w:rFonts w:ascii="Segoe UI" w:hAnsi="Segoe UI" w:cs="Segoe UI"/>
          <w:i/>
          <w:sz w:val="20"/>
          <w:szCs w:val="20"/>
        </w:rPr>
      </w:pPr>
      <w:r w:rsidRPr="00EB3D86">
        <w:rPr>
          <w:rFonts w:ascii="Segoe UI" w:hAnsi="Segoe UI" w:cs="Segoe UI"/>
          <w:i/>
          <w:sz w:val="20"/>
          <w:szCs w:val="20"/>
        </w:rPr>
        <w:t>Strategic risk themes:</w:t>
      </w:r>
      <w:r>
        <w:rPr>
          <w:rFonts w:ascii="Segoe UI" w:hAnsi="Segoe UI" w:cs="Segoe UI"/>
          <w:i/>
          <w:sz w:val="20"/>
          <w:szCs w:val="20"/>
        </w:rPr>
        <w:t xml:space="preserve"> planning and decision-making at System and Place level and collaborative working with Partners; governance of external Partners; Financial Sustainability; Governance and decision-making arrangements; Business Planning; Information Governance &amp; Cyber Security; Single Data Centre; Business Continuity and Emergency Planning; Environmental Impact; and Major Capital Projects.</w:t>
      </w:r>
    </w:p>
    <w:p w14:paraId="527545E0" w14:textId="77777777" w:rsidR="00876856" w:rsidRDefault="00876856" w:rsidP="002250DE">
      <w:pPr>
        <w:ind w:left="720"/>
        <w:jc w:val="both"/>
        <w:rPr>
          <w:rFonts w:ascii="Segoe UI" w:hAnsi="Segoe UI" w:cs="Segoe UI"/>
          <w:i/>
          <w:sz w:val="20"/>
          <w:szCs w:val="20"/>
        </w:rPr>
      </w:pPr>
    </w:p>
    <w:sectPr w:rsidR="00876856" w:rsidSect="00262F0F">
      <w:footerReference w:type="default" r:id="rId11"/>
      <w:headerReference w:type="first" r:id="rId12"/>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6D82" w14:textId="77777777" w:rsidR="00083CA0" w:rsidRDefault="00083CA0" w:rsidP="005B3E3C">
      <w:r>
        <w:separator/>
      </w:r>
    </w:p>
  </w:endnote>
  <w:endnote w:type="continuationSeparator" w:id="0">
    <w:p w14:paraId="4EAC7FEE" w14:textId="77777777" w:rsidR="00083CA0" w:rsidRDefault="00083CA0"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255000"/>
      <w:docPartObj>
        <w:docPartGallery w:val="Page Numbers (Bottom of Page)"/>
        <w:docPartUnique/>
      </w:docPartObj>
    </w:sdtPr>
    <w:sdtEndPr>
      <w:rPr>
        <w:noProof/>
      </w:rPr>
    </w:sdtEndPr>
    <w:sdtContent>
      <w:p w14:paraId="4C753D82" w14:textId="77777777" w:rsidR="000A583B" w:rsidRDefault="000A58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48C5899B" w14:textId="77777777"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B359" w14:textId="77777777" w:rsidR="00083CA0" w:rsidRDefault="00083CA0" w:rsidP="005B3E3C">
      <w:r>
        <w:separator/>
      </w:r>
    </w:p>
  </w:footnote>
  <w:footnote w:type="continuationSeparator" w:id="0">
    <w:p w14:paraId="0813B6D4" w14:textId="77777777" w:rsidR="00083CA0" w:rsidRDefault="00083CA0"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C863" w14:textId="77777777"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14:paraId="54928BE8"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353"/>
    <w:multiLevelType w:val="hybridMultilevel"/>
    <w:tmpl w:val="FF6688DC"/>
    <w:lvl w:ilvl="0" w:tplc="095C6A3C">
      <w:start w:val="1"/>
      <w:numFmt w:val="bullet"/>
      <w:lvlText w:val=""/>
      <w:lvlJc w:val="left"/>
      <w:pPr>
        <w:ind w:left="720" w:hanging="360"/>
      </w:pPr>
      <w:rPr>
        <w:rFonts w:ascii="Wingdings" w:hAnsi="Wingdings" w:hint="default"/>
        <w:color w:val="215868" w:themeColor="accent5"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A5E63"/>
    <w:multiLevelType w:val="hybridMultilevel"/>
    <w:tmpl w:val="A550949C"/>
    <w:lvl w:ilvl="0" w:tplc="095C6A3C">
      <w:start w:val="1"/>
      <w:numFmt w:val="bullet"/>
      <w:lvlText w:val=""/>
      <w:lvlJc w:val="left"/>
      <w:pPr>
        <w:ind w:left="720" w:hanging="360"/>
      </w:pPr>
      <w:rPr>
        <w:rFonts w:ascii="Wingdings" w:hAnsi="Wingdings" w:hint="default"/>
        <w:color w:val="215868" w:themeColor="accent5"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6740EA"/>
    <w:multiLevelType w:val="hybridMultilevel"/>
    <w:tmpl w:val="BAA28466"/>
    <w:lvl w:ilvl="0" w:tplc="095C6A3C">
      <w:start w:val="1"/>
      <w:numFmt w:val="bullet"/>
      <w:lvlText w:val=""/>
      <w:lvlJc w:val="left"/>
      <w:pPr>
        <w:ind w:left="720" w:hanging="360"/>
      </w:pPr>
      <w:rPr>
        <w:rFonts w:ascii="Wingdings" w:hAnsi="Wingdings"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7629323">
    <w:abstractNumId w:val="9"/>
  </w:num>
  <w:num w:numId="2" w16cid:durableId="1730226589">
    <w:abstractNumId w:val="4"/>
  </w:num>
  <w:num w:numId="3" w16cid:durableId="130368313">
    <w:abstractNumId w:val="5"/>
  </w:num>
  <w:num w:numId="4" w16cid:durableId="349600284">
    <w:abstractNumId w:val="2"/>
  </w:num>
  <w:num w:numId="5" w16cid:durableId="1581720697">
    <w:abstractNumId w:val="7"/>
  </w:num>
  <w:num w:numId="6" w16cid:durableId="2141805361">
    <w:abstractNumId w:val="3"/>
  </w:num>
  <w:num w:numId="7" w16cid:durableId="899897935">
    <w:abstractNumId w:val="8"/>
  </w:num>
  <w:num w:numId="8" w16cid:durableId="1906257291">
    <w:abstractNumId w:val="6"/>
  </w:num>
  <w:num w:numId="9" w16cid:durableId="29771900">
    <w:abstractNumId w:val="0"/>
  </w:num>
  <w:num w:numId="10" w16cid:durableId="173607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0267F"/>
    <w:rsid w:val="0000292C"/>
    <w:rsid w:val="000072B1"/>
    <w:rsid w:val="0002698F"/>
    <w:rsid w:val="00030247"/>
    <w:rsid w:val="00047FC8"/>
    <w:rsid w:val="00052A8D"/>
    <w:rsid w:val="000706B2"/>
    <w:rsid w:val="00071842"/>
    <w:rsid w:val="00083CA0"/>
    <w:rsid w:val="00086A88"/>
    <w:rsid w:val="000A3A29"/>
    <w:rsid w:val="000A583B"/>
    <w:rsid w:val="000A5A07"/>
    <w:rsid w:val="000B16E1"/>
    <w:rsid w:val="000B420F"/>
    <w:rsid w:val="000E317C"/>
    <w:rsid w:val="000E3CBD"/>
    <w:rsid w:val="000F3F32"/>
    <w:rsid w:val="00100975"/>
    <w:rsid w:val="00101A8F"/>
    <w:rsid w:val="001058A7"/>
    <w:rsid w:val="00112F4E"/>
    <w:rsid w:val="00131E2C"/>
    <w:rsid w:val="00145747"/>
    <w:rsid w:val="00154D4F"/>
    <w:rsid w:val="001576AD"/>
    <w:rsid w:val="001652D8"/>
    <w:rsid w:val="00170E25"/>
    <w:rsid w:val="001872BD"/>
    <w:rsid w:val="001B2869"/>
    <w:rsid w:val="001B5873"/>
    <w:rsid w:val="001E1196"/>
    <w:rsid w:val="001F76ED"/>
    <w:rsid w:val="002250DE"/>
    <w:rsid w:val="00227FCE"/>
    <w:rsid w:val="00241A66"/>
    <w:rsid w:val="00241F10"/>
    <w:rsid w:val="00243AE4"/>
    <w:rsid w:val="002619EF"/>
    <w:rsid w:val="00262F0F"/>
    <w:rsid w:val="0026696B"/>
    <w:rsid w:val="002821F8"/>
    <w:rsid w:val="00292613"/>
    <w:rsid w:val="002A59FB"/>
    <w:rsid w:val="002A73E8"/>
    <w:rsid w:val="002B7785"/>
    <w:rsid w:val="002C0FB1"/>
    <w:rsid w:val="002C2F97"/>
    <w:rsid w:val="002E6FC6"/>
    <w:rsid w:val="002F0D9E"/>
    <w:rsid w:val="00300635"/>
    <w:rsid w:val="0030447D"/>
    <w:rsid w:val="00306AF0"/>
    <w:rsid w:val="00316193"/>
    <w:rsid w:val="00373B81"/>
    <w:rsid w:val="0037698C"/>
    <w:rsid w:val="003927AC"/>
    <w:rsid w:val="003971F6"/>
    <w:rsid w:val="003A5EF1"/>
    <w:rsid w:val="003E5E1F"/>
    <w:rsid w:val="003E7B24"/>
    <w:rsid w:val="003F2AF4"/>
    <w:rsid w:val="003F7366"/>
    <w:rsid w:val="00424ACF"/>
    <w:rsid w:val="00425096"/>
    <w:rsid w:val="004305A4"/>
    <w:rsid w:val="004326BB"/>
    <w:rsid w:val="0044492D"/>
    <w:rsid w:val="00456DDE"/>
    <w:rsid w:val="00462818"/>
    <w:rsid w:val="00473AC4"/>
    <w:rsid w:val="004742D0"/>
    <w:rsid w:val="0048637D"/>
    <w:rsid w:val="00491FF2"/>
    <w:rsid w:val="0049399C"/>
    <w:rsid w:val="00495D2F"/>
    <w:rsid w:val="00497C22"/>
    <w:rsid w:val="004B1397"/>
    <w:rsid w:val="004C16A3"/>
    <w:rsid w:val="004D0692"/>
    <w:rsid w:val="004F4BBA"/>
    <w:rsid w:val="005014AF"/>
    <w:rsid w:val="00513D95"/>
    <w:rsid w:val="005233AA"/>
    <w:rsid w:val="00523450"/>
    <w:rsid w:val="00542C87"/>
    <w:rsid w:val="0054518F"/>
    <w:rsid w:val="005516B7"/>
    <w:rsid w:val="00551AD9"/>
    <w:rsid w:val="00551B0F"/>
    <w:rsid w:val="005564EE"/>
    <w:rsid w:val="00556ED2"/>
    <w:rsid w:val="005659FB"/>
    <w:rsid w:val="00566790"/>
    <w:rsid w:val="00576610"/>
    <w:rsid w:val="00576C3E"/>
    <w:rsid w:val="00583664"/>
    <w:rsid w:val="0058507D"/>
    <w:rsid w:val="005972C4"/>
    <w:rsid w:val="005A23E0"/>
    <w:rsid w:val="005B3E3C"/>
    <w:rsid w:val="005B5AD6"/>
    <w:rsid w:val="005C3FC1"/>
    <w:rsid w:val="005D30BE"/>
    <w:rsid w:val="005D3499"/>
    <w:rsid w:val="005D3EBB"/>
    <w:rsid w:val="005E2583"/>
    <w:rsid w:val="005E689F"/>
    <w:rsid w:val="006126B4"/>
    <w:rsid w:val="0061684E"/>
    <w:rsid w:val="00620AA5"/>
    <w:rsid w:val="00624C4E"/>
    <w:rsid w:val="00630CC4"/>
    <w:rsid w:val="0063463D"/>
    <w:rsid w:val="00637C21"/>
    <w:rsid w:val="00642EDC"/>
    <w:rsid w:val="00661953"/>
    <w:rsid w:val="00667239"/>
    <w:rsid w:val="00683031"/>
    <w:rsid w:val="00685801"/>
    <w:rsid w:val="0069110D"/>
    <w:rsid w:val="006B14EF"/>
    <w:rsid w:val="006C3147"/>
    <w:rsid w:val="006D4BDD"/>
    <w:rsid w:val="006E3C3E"/>
    <w:rsid w:val="006E6E3E"/>
    <w:rsid w:val="006F2F62"/>
    <w:rsid w:val="006F6C4E"/>
    <w:rsid w:val="00700753"/>
    <w:rsid w:val="0073096A"/>
    <w:rsid w:val="0073522A"/>
    <w:rsid w:val="00745B27"/>
    <w:rsid w:val="00754F3D"/>
    <w:rsid w:val="00762355"/>
    <w:rsid w:val="00764121"/>
    <w:rsid w:val="00771D65"/>
    <w:rsid w:val="007769CD"/>
    <w:rsid w:val="0078032B"/>
    <w:rsid w:val="00781566"/>
    <w:rsid w:val="007873B9"/>
    <w:rsid w:val="007976E7"/>
    <w:rsid w:val="007A2CF0"/>
    <w:rsid w:val="007B02FB"/>
    <w:rsid w:val="007B2183"/>
    <w:rsid w:val="007B6D77"/>
    <w:rsid w:val="007C11C1"/>
    <w:rsid w:val="007C6B45"/>
    <w:rsid w:val="007C727E"/>
    <w:rsid w:val="00802701"/>
    <w:rsid w:val="008038A2"/>
    <w:rsid w:val="00811FE8"/>
    <w:rsid w:val="008138CD"/>
    <w:rsid w:val="00821901"/>
    <w:rsid w:val="00827CAF"/>
    <w:rsid w:val="0084720C"/>
    <w:rsid w:val="0086436B"/>
    <w:rsid w:val="00876856"/>
    <w:rsid w:val="0088096A"/>
    <w:rsid w:val="008863E9"/>
    <w:rsid w:val="008865A9"/>
    <w:rsid w:val="00894B97"/>
    <w:rsid w:val="008A6300"/>
    <w:rsid w:val="008C2852"/>
    <w:rsid w:val="008F0F4B"/>
    <w:rsid w:val="008F25BE"/>
    <w:rsid w:val="0090446A"/>
    <w:rsid w:val="00907865"/>
    <w:rsid w:val="00914771"/>
    <w:rsid w:val="00936429"/>
    <w:rsid w:val="009368CA"/>
    <w:rsid w:val="00946E6E"/>
    <w:rsid w:val="009555FF"/>
    <w:rsid w:val="0097530A"/>
    <w:rsid w:val="009869DE"/>
    <w:rsid w:val="009A3886"/>
    <w:rsid w:val="009D0290"/>
    <w:rsid w:val="00A016A0"/>
    <w:rsid w:val="00A12789"/>
    <w:rsid w:val="00A15A88"/>
    <w:rsid w:val="00A2080F"/>
    <w:rsid w:val="00A22EA3"/>
    <w:rsid w:val="00A3033F"/>
    <w:rsid w:val="00A55FD3"/>
    <w:rsid w:val="00A61632"/>
    <w:rsid w:val="00A674FB"/>
    <w:rsid w:val="00A8258F"/>
    <w:rsid w:val="00A85311"/>
    <w:rsid w:val="00A86977"/>
    <w:rsid w:val="00AA0C3F"/>
    <w:rsid w:val="00AC041B"/>
    <w:rsid w:val="00AC3814"/>
    <w:rsid w:val="00AF0562"/>
    <w:rsid w:val="00B02CF9"/>
    <w:rsid w:val="00B10FB2"/>
    <w:rsid w:val="00B11CE6"/>
    <w:rsid w:val="00B1665F"/>
    <w:rsid w:val="00B26E1A"/>
    <w:rsid w:val="00B26F2C"/>
    <w:rsid w:val="00B302B6"/>
    <w:rsid w:val="00B47606"/>
    <w:rsid w:val="00B50D5E"/>
    <w:rsid w:val="00B72191"/>
    <w:rsid w:val="00B75683"/>
    <w:rsid w:val="00B83C71"/>
    <w:rsid w:val="00B9138C"/>
    <w:rsid w:val="00B93003"/>
    <w:rsid w:val="00BA2B27"/>
    <w:rsid w:val="00BA3B3E"/>
    <w:rsid w:val="00BA6E10"/>
    <w:rsid w:val="00BB510B"/>
    <w:rsid w:val="00BC152C"/>
    <w:rsid w:val="00BC49D3"/>
    <w:rsid w:val="00BC5F4F"/>
    <w:rsid w:val="00BE382F"/>
    <w:rsid w:val="00BF3538"/>
    <w:rsid w:val="00BF5367"/>
    <w:rsid w:val="00C07817"/>
    <w:rsid w:val="00C11AA2"/>
    <w:rsid w:val="00C21F2C"/>
    <w:rsid w:val="00C30879"/>
    <w:rsid w:val="00C355D8"/>
    <w:rsid w:val="00C60166"/>
    <w:rsid w:val="00C67635"/>
    <w:rsid w:val="00C71005"/>
    <w:rsid w:val="00C82DA5"/>
    <w:rsid w:val="00C84B11"/>
    <w:rsid w:val="00CB4A4C"/>
    <w:rsid w:val="00CB7A12"/>
    <w:rsid w:val="00CF4A6F"/>
    <w:rsid w:val="00CF5705"/>
    <w:rsid w:val="00D029E8"/>
    <w:rsid w:val="00D03FE8"/>
    <w:rsid w:val="00D063BC"/>
    <w:rsid w:val="00D07064"/>
    <w:rsid w:val="00D101CB"/>
    <w:rsid w:val="00D117A0"/>
    <w:rsid w:val="00D11D83"/>
    <w:rsid w:val="00D179C5"/>
    <w:rsid w:val="00D26F70"/>
    <w:rsid w:val="00D279FC"/>
    <w:rsid w:val="00D3436B"/>
    <w:rsid w:val="00D557DE"/>
    <w:rsid w:val="00D55ADD"/>
    <w:rsid w:val="00D628E5"/>
    <w:rsid w:val="00D8544F"/>
    <w:rsid w:val="00D870AD"/>
    <w:rsid w:val="00D9573C"/>
    <w:rsid w:val="00DA0537"/>
    <w:rsid w:val="00DA0FA6"/>
    <w:rsid w:val="00DA6606"/>
    <w:rsid w:val="00DA79EF"/>
    <w:rsid w:val="00DA7A7C"/>
    <w:rsid w:val="00DB0979"/>
    <w:rsid w:val="00DB0DDF"/>
    <w:rsid w:val="00DB161E"/>
    <w:rsid w:val="00DC2091"/>
    <w:rsid w:val="00DC3F56"/>
    <w:rsid w:val="00DD282D"/>
    <w:rsid w:val="00DD33DF"/>
    <w:rsid w:val="00DD7593"/>
    <w:rsid w:val="00DE1293"/>
    <w:rsid w:val="00DE4919"/>
    <w:rsid w:val="00DF10CC"/>
    <w:rsid w:val="00E26C0D"/>
    <w:rsid w:val="00E43E64"/>
    <w:rsid w:val="00E5227D"/>
    <w:rsid w:val="00E62E7E"/>
    <w:rsid w:val="00E671A0"/>
    <w:rsid w:val="00E71523"/>
    <w:rsid w:val="00E827C5"/>
    <w:rsid w:val="00E925B3"/>
    <w:rsid w:val="00E965D7"/>
    <w:rsid w:val="00EA2D81"/>
    <w:rsid w:val="00EB0A23"/>
    <w:rsid w:val="00EB3D86"/>
    <w:rsid w:val="00ED33B1"/>
    <w:rsid w:val="00EE261A"/>
    <w:rsid w:val="00EE5F29"/>
    <w:rsid w:val="00EE6AE3"/>
    <w:rsid w:val="00F24450"/>
    <w:rsid w:val="00F24EB2"/>
    <w:rsid w:val="00F40E0C"/>
    <w:rsid w:val="00F425E0"/>
    <w:rsid w:val="00F50A07"/>
    <w:rsid w:val="00F57119"/>
    <w:rsid w:val="00F73BEE"/>
    <w:rsid w:val="00F77C13"/>
    <w:rsid w:val="00F87EF9"/>
    <w:rsid w:val="00F93420"/>
    <w:rsid w:val="00F945DB"/>
    <w:rsid w:val="00FA3993"/>
    <w:rsid w:val="00FA5118"/>
    <w:rsid w:val="00FB35C1"/>
    <w:rsid w:val="00FC13A1"/>
    <w:rsid w:val="00FD2279"/>
    <w:rsid w:val="00FD24EE"/>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FF819"/>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3A"/>
    <w:rPr>
      <w:sz w:val="24"/>
      <w:szCs w:val="24"/>
      <w:lang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 w:type="character" w:styleId="CommentReference">
    <w:name w:val="annotation reference"/>
    <w:basedOn w:val="DefaultParagraphFont"/>
    <w:semiHidden/>
    <w:unhideWhenUsed/>
    <w:rsid w:val="00936429"/>
    <w:rPr>
      <w:sz w:val="16"/>
      <w:szCs w:val="16"/>
    </w:rPr>
  </w:style>
  <w:style w:type="paragraph" w:styleId="CommentText">
    <w:name w:val="annotation text"/>
    <w:basedOn w:val="Normal"/>
    <w:link w:val="CommentTextChar"/>
    <w:unhideWhenUsed/>
    <w:rsid w:val="00936429"/>
    <w:rPr>
      <w:sz w:val="20"/>
      <w:szCs w:val="20"/>
    </w:rPr>
  </w:style>
  <w:style w:type="character" w:customStyle="1" w:styleId="CommentTextChar">
    <w:name w:val="Comment Text Char"/>
    <w:basedOn w:val="DefaultParagraphFont"/>
    <w:link w:val="CommentText"/>
    <w:rsid w:val="00936429"/>
    <w:rPr>
      <w:lang w:eastAsia="en-US"/>
    </w:rPr>
  </w:style>
  <w:style w:type="paragraph" w:styleId="CommentSubject">
    <w:name w:val="annotation subject"/>
    <w:basedOn w:val="CommentText"/>
    <w:next w:val="CommentText"/>
    <w:link w:val="CommentSubjectChar"/>
    <w:semiHidden/>
    <w:unhideWhenUsed/>
    <w:rsid w:val="00936429"/>
    <w:rPr>
      <w:b/>
      <w:bCs/>
    </w:rPr>
  </w:style>
  <w:style w:type="character" w:customStyle="1" w:styleId="CommentSubjectChar">
    <w:name w:val="Comment Subject Char"/>
    <w:basedOn w:val="CommentTextChar"/>
    <w:link w:val="CommentSubject"/>
    <w:semiHidden/>
    <w:rsid w:val="0093642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0FE3C776672E4F98EC78CFC5673726" ma:contentTypeVersion="5" ma:contentTypeDescription="Create a new document." ma:contentTypeScope="" ma:versionID="c50303fd02c839022dee36d64db1a4dd">
  <xsd:schema xmlns:xsd="http://www.w3.org/2001/XMLSchema" xmlns:xs="http://www.w3.org/2001/XMLSchema" xmlns:p="http://schemas.microsoft.com/office/2006/metadata/properties" xmlns:ns2="80d282f4-189f-40b5-b2ef-b2287c59eea2" xmlns:ns3="925d566c-8004-45b2-a1ff-1afa3739f842" targetNamespace="http://schemas.microsoft.com/office/2006/metadata/properties" ma:root="true" ma:fieldsID="c5fcee2aad3b4e62f62adb3676465a0c" ns2:_="" ns3:_="">
    <xsd:import namespace="80d282f4-189f-40b5-b2ef-b2287c59eea2"/>
    <xsd:import namespace="925d566c-8004-45b2-a1ff-1afa3739f842"/>
    <xsd:element name="properties">
      <xsd:complexType>
        <xsd:sequence>
          <xsd:element name="documentManagement">
            <xsd:complexType>
              <xsd:all>
                <xsd:element ref="ns2:MediaServiceMetadata" minOccurs="0"/>
                <xsd:element ref="ns2:MediaServiceFastMetadata" minOccurs="0"/>
                <xsd:element ref="ns2:Numbe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282f4-189f-40b5-b2ef-b2287c59e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umber" ma:index="10" nillable="true" ma:displayName="Number" ma:default="1"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25d566c-8004-45b2-a1ff-1afa3739f8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23D1-F781-421A-A401-57AB10E889ED}">
  <ds:schemaRefs>
    <ds:schemaRef ds:uri="http://schemas.microsoft.com/sharepoint/v3/contenttype/forms"/>
  </ds:schemaRefs>
</ds:datastoreItem>
</file>

<file path=customXml/itemProps2.xml><?xml version="1.0" encoding="utf-8"?>
<ds:datastoreItem xmlns:ds="http://schemas.openxmlformats.org/officeDocument/2006/customXml" ds:itemID="{9197F3FD-896F-4C39-8642-6B6F4F43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282f4-189f-40b5-b2ef-b2287c59eea2"/>
    <ds:schemaRef ds:uri="925d566c-8004-45b2-a1ff-1afa3739f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5BBC6-C31F-46E9-BE78-EF6B8E27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4</Pages>
  <Words>1063</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34</cp:revision>
  <cp:lastPrinted>2014-03-17T14:55:00Z</cp:lastPrinted>
  <dcterms:created xsi:type="dcterms:W3CDTF">2023-07-04T11:41:00Z</dcterms:created>
  <dcterms:modified xsi:type="dcterms:W3CDTF">2023-07-13T14:13:00Z</dcterms:modified>
</cp:coreProperties>
</file>