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5C2C6E" w:rsidRDefault="007B6D77" w:rsidP="0086436B">
      <w:pPr>
        <w:ind w:right="-900"/>
        <w:jc w:val="right"/>
        <w:rPr>
          <w:rFonts w:ascii="Segoe UI" w:hAnsi="Segoe UI" w:cs="Segoe UI"/>
          <w:lang w:val="en-GB"/>
        </w:rPr>
      </w:pPr>
      <w:r w:rsidRPr="005C2C6E">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5C2C6E" w:rsidRDefault="005D3499" w:rsidP="007B02FB">
      <w:pPr>
        <w:pStyle w:val="Heading1"/>
        <w:rPr>
          <w:rFonts w:ascii="Segoe UI" w:hAnsi="Segoe UI" w:cs="Segoe UI"/>
          <w:sz w:val="28"/>
          <w:u w:val="none"/>
        </w:rPr>
      </w:pPr>
    </w:p>
    <w:p w:rsidR="005E2583" w:rsidRPr="005C2C6E" w:rsidRDefault="00E60D96">
      <w:pPr>
        <w:pStyle w:val="Heading1"/>
        <w:jc w:val="center"/>
        <w:rPr>
          <w:rFonts w:ascii="Segoe UI" w:hAnsi="Segoe UI" w:cs="Segoe UI"/>
          <w:sz w:val="28"/>
          <w:u w:val="none"/>
        </w:rPr>
      </w:pPr>
      <w:r w:rsidRPr="005C2C6E">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Pr="00C43007" w:rsidRDefault="00766230">
                            <w:pPr>
                              <w:jc w:val="center"/>
                              <w:rPr>
                                <w:rFonts w:ascii="Segoe UI" w:hAnsi="Segoe UI" w:cs="Segoe UI"/>
                              </w:rPr>
                            </w:pPr>
                            <w:r w:rsidRPr="00C43007">
                              <w:rPr>
                                <w:rFonts w:ascii="Segoe UI" w:hAnsi="Segoe UI" w:cs="Segoe UI"/>
                                <w:b/>
                              </w:rPr>
                              <w:t>C</w:t>
                            </w:r>
                            <w:r w:rsidR="00342219" w:rsidRPr="00C43007">
                              <w:rPr>
                                <w:rFonts w:ascii="Segoe UI" w:hAnsi="Segoe UI" w:cs="Segoe UI"/>
                                <w:b/>
                              </w:rPr>
                              <w:t>G</w:t>
                            </w:r>
                            <w:r w:rsidRPr="00C43007">
                              <w:rPr>
                                <w:rFonts w:ascii="Segoe UI" w:hAnsi="Segoe UI" w:cs="Segoe UI"/>
                                <w:b/>
                              </w:rPr>
                              <w:t xml:space="preserve"> </w:t>
                            </w:r>
                            <w:r w:rsidR="00C43007" w:rsidRPr="00C43007">
                              <w:rPr>
                                <w:rFonts w:ascii="Segoe UI" w:hAnsi="Segoe UI" w:cs="Segoe UI"/>
                                <w:b/>
                              </w:rPr>
                              <w:t>15/2018</w:t>
                            </w:r>
                          </w:p>
                          <w:p w:rsidR="00FA3993" w:rsidRPr="00FA3993" w:rsidRDefault="00766230">
                            <w:pPr>
                              <w:jc w:val="center"/>
                              <w:rPr>
                                <w:rFonts w:ascii="Segoe UI" w:hAnsi="Segoe UI" w:cs="Segoe UI"/>
                                <w:sz w:val="22"/>
                                <w:szCs w:val="22"/>
                              </w:rPr>
                            </w:pPr>
                            <w:r w:rsidRPr="00C43007">
                              <w:rPr>
                                <w:rFonts w:ascii="Segoe UI" w:hAnsi="Segoe UI" w:cs="Segoe UI"/>
                                <w:sz w:val="22"/>
                                <w:szCs w:val="22"/>
                              </w:rPr>
                              <w:t>(Agenda item</w:t>
                            </w:r>
                            <w:r w:rsidR="0022259D" w:rsidRPr="00C43007">
                              <w:rPr>
                                <w:rFonts w:ascii="Segoe UI" w:hAnsi="Segoe UI" w:cs="Segoe UI"/>
                                <w:sz w:val="22"/>
                                <w:szCs w:val="22"/>
                              </w:rPr>
                              <w:t>:</w:t>
                            </w:r>
                            <w:r w:rsidR="00C43007" w:rsidRPr="00C43007">
                              <w:rPr>
                                <w:rFonts w:ascii="Segoe UI" w:hAnsi="Segoe UI" w:cs="Segoe UI"/>
                                <w:sz w:val="22"/>
                                <w:szCs w:val="22"/>
                              </w:rPr>
                              <w:t xml:space="preserve"> 12</w:t>
                            </w:r>
                            <w:r w:rsidR="00FA3993" w:rsidRPr="00C43007">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Pr="00C43007" w:rsidRDefault="00766230">
                      <w:pPr>
                        <w:jc w:val="center"/>
                        <w:rPr>
                          <w:rFonts w:ascii="Segoe UI" w:hAnsi="Segoe UI" w:cs="Segoe UI"/>
                        </w:rPr>
                      </w:pPr>
                      <w:r w:rsidRPr="00C43007">
                        <w:rPr>
                          <w:rFonts w:ascii="Segoe UI" w:hAnsi="Segoe UI" w:cs="Segoe UI"/>
                          <w:b/>
                        </w:rPr>
                        <w:t>C</w:t>
                      </w:r>
                      <w:r w:rsidR="00342219" w:rsidRPr="00C43007">
                        <w:rPr>
                          <w:rFonts w:ascii="Segoe UI" w:hAnsi="Segoe UI" w:cs="Segoe UI"/>
                          <w:b/>
                        </w:rPr>
                        <w:t>G</w:t>
                      </w:r>
                      <w:r w:rsidRPr="00C43007">
                        <w:rPr>
                          <w:rFonts w:ascii="Segoe UI" w:hAnsi="Segoe UI" w:cs="Segoe UI"/>
                          <w:b/>
                        </w:rPr>
                        <w:t xml:space="preserve"> </w:t>
                      </w:r>
                      <w:r w:rsidR="00C43007" w:rsidRPr="00C43007">
                        <w:rPr>
                          <w:rFonts w:ascii="Segoe UI" w:hAnsi="Segoe UI" w:cs="Segoe UI"/>
                          <w:b/>
                        </w:rPr>
                        <w:t>15/2018</w:t>
                      </w:r>
                    </w:p>
                    <w:p w:rsidR="00FA3993" w:rsidRPr="00FA3993" w:rsidRDefault="00766230">
                      <w:pPr>
                        <w:jc w:val="center"/>
                        <w:rPr>
                          <w:rFonts w:ascii="Segoe UI" w:hAnsi="Segoe UI" w:cs="Segoe UI"/>
                          <w:sz w:val="22"/>
                          <w:szCs w:val="22"/>
                        </w:rPr>
                      </w:pPr>
                      <w:r w:rsidRPr="00C43007">
                        <w:rPr>
                          <w:rFonts w:ascii="Segoe UI" w:hAnsi="Segoe UI" w:cs="Segoe UI"/>
                          <w:sz w:val="22"/>
                          <w:szCs w:val="22"/>
                        </w:rPr>
                        <w:t>(Agenda item</w:t>
                      </w:r>
                      <w:r w:rsidR="0022259D" w:rsidRPr="00C43007">
                        <w:rPr>
                          <w:rFonts w:ascii="Segoe UI" w:hAnsi="Segoe UI" w:cs="Segoe UI"/>
                          <w:sz w:val="22"/>
                          <w:szCs w:val="22"/>
                        </w:rPr>
                        <w:t>:</w:t>
                      </w:r>
                      <w:r w:rsidR="00C43007" w:rsidRPr="00C43007">
                        <w:rPr>
                          <w:rFonts w:ascii="Segoe UI" w:hAnsi="Segoe UI" w:cs="Segoe UI"/>
                          <w:sz w:val="22"/>
                          <w:szCs w:val="22"/>
                        </w:rPr>
                        <w:t xml:space="preserve"> 12</w:t>
                      </w:r>
                      <w:r w:rsidR="00FA3993" w:rsidRPr="00C43007">
                        <w:rPr>
                          <w:rFonts w:ascii="Segoe UI" w:hAnsi="Segoe UI" w:cs="Segoe UI"/>
                          <w:sz w:val="22"/>
                          <w:szCs w:val="22"/>
                        </w:rPr>
                        <w:t>)</w:t>
                      </w:r>
                    </w:p>
                  </w:txbxContent>
                </v:textbox>
              </v:rect>
            </w:pict>
          </mc:Fallback>
        </mc:AlternateContent>
      </w:r>
      <w:r w:rsidR="005D3499" w:rsidRPr="005C2C6E">
        <w:rPr>
          <w:rFonts w:ascii="Segoe UI" w:hAnsi="Segoe UI" w:cs="Segoe UI"/>
          <w:sz w:val="28"/>
          <w:u w:val="none"/>
        </w:rPr>
        <w:t xml:space="preserve">Report to the Meeting </w:t>
      </w:r>
      <w:r w:rsidR="00B50D5E" w:rsidRPr="005C2C6E">
        <w:rPr>
          <w:rFonts w:ascii="Segoe UI" w:hAnsi="Segoe UI" w:cs="Segoe UI"/>
          <w:sz w:val="28"/>
          <w:u w:val="none"/>
        </w:rPr>
        <w:t xml:space="preserve">of the </w:t>
      </w:r>
    </w:p>
    <w:p w:rsidR="002821F8" w:rsidRPr="005C2C6E" w:rsidRDefault="00B50D5E">
      <w:pPr>
        <w:pStyle w:val="Heading1"/>
        <w:jc w:val="center"/>
        <w:rPr>
          <w:rFonts w:ascii="Segoe UI" w:hAnsi="Segoe UI" w:cs="Segoe UI"/>
          <w:sz w:val="28"/>
          <w:u w:val="none"/>
        </w:rPr>
      </w:pPr>
      <w:r w:rsidRPr="005C2C6E">
        <w:rPr>
          <w:rFonts w:ascii="Segoe UI" w:hAnsi="Segoe UI" w:cs="Segoe UI"/>
          <w:sz w:val="28"/>
          <w:u w:val="none"/>
        </w:rPr>
        <w:t xml:space="preserve">Oxford Health NHS </w:t>
      </w:r>
      <w:r w:rsidR="002821F8" w:rsidRPr="005C2C6E">
        <w:rPr>
          <w:rFonts w:ascii="Segoe UI" w:hAnsi="Segoe UI" w:cs="Segoe UI"/>
          <w:sz w:val="28"/>
          <w:u w:val="none"/>
        </w:rPr>
        <w:t xml:space="preserve">Foundation Trust </w:t>
      </w:r>
    </w:p>
    <w:p w:rsidR="00FA3993" w:rsidRPr="005C2C6E" w:rsidRDefault="00FA3993">
      <w:pPr>
        <w:pStyle w:val="Heading1"/>
        <w:jc w:val="center"/>
        <w:rPr>
          <w:rFonts w:ascii="Segoe UI" w:hAnsi="Segoe UI" w:cs="Segoe UI"/>
          <w:sz w:val="28"/>
          <w:u w:val="none"/>
        </w:rPr>
      </w:pPr>
    </w:p>
    <w:p w:rsidR="005D3499" w:rsidRPr="005C2C6E" w:rsidRDefault="00342219">
      <w:pPr>
        <w:pStyle w:val="Heading1"/>
        <w:jc w:val="center"/>
        <w:rPr>
          <w:rFonts w:ascii="Segoe UI" w:hAnsi="Segoe UI" w:cs="Segoe UI"/>
          <w:sz w:val="28"/>
          <w:u w:val="none"/>
        </w:rPr>
      </w:pPr>
      <w:r w:rsidRPr="005C2C6E">
        <w:rPr>
          <w:rFonts w:ascii="Segoe UI" w:hAnsi="Segoe UI" w:cs="Segoe UI"/>
          <w:sz w:val="28"/>
          <w:u w:val="none"/>
        </w:rPr>
        <w:t>Council of Governors</w:t>
      </w:r>
    </w:p>
    <w:p w:rsidR="005D3499" w:rsidRPr="005C2C6E" w:rsidRDefault="005D3499" w:rsidP="00A85311">
      <w:pPr>
        <w:rPr>
          <w:rFonts w:ascii="Segoe UI" w:hAnsi="Segoe UI" w:cs="Segoe UI"/>
          <w:b/>
        </w:rPr>
      </w:pPr>
    </w:p>
    <w:p w:rsidR="005D3499" w:rsidRPr="005C2C6E" w:rsidRDefault="00243EF5">
      <w:pPr>
        <w:jc w:val="center"/>
        <w:rPr>
          <w:rFonts w:ascii="Segoe UI" w:hAnsi="Segoe UI" w:cs="Segoe UI"/>
          <w:b/>
        </w:rPr>
      </w:pPr>
      <w:r>
        <w:rPr>
          <w:rFonts w:ascii="Segoe UI" w:hAnsi="Segoe UI" w:cs="Segoe UI"/>
          <w:b/>
        </w:rPr>
        <w:t>June 12th</w:t>
      </w:r>
      <w:r w:rsidR="0002155B" w:rsidRPr="005C2C6E">
        <w:rPr>
          <w:rFonts w:ascii="Segoe UI" w:hAnsi="Segoe UI" w:cs="Segoe UI"/>
          <w:b/>
        </w:rPr>
        <w:t xml:space="preserve"> 2018</w:t>
      </w:r>
    </w:p>
    <w:p w:rsidR="005D3499" w:rsidRPr="005C2C6E" w:rsidRDefault="005D3499">
      <w:pPr>
        <w:jc w:val="center"/>
        <w:rPr>
          <w:rFonts w:ascii="Segoe UI" w:hAnsi="Segoe UI" w:cs="Segoe UI"/>
          <w:b/>
        </w:rPr>
      </w:pPr>
    </w:p>
    <w:p w:rsidR="00C40728" w:rsidRPr="005C2C6E" w:rsidRDefault="00F715FD" w:rsidP="00FD2279">
      <w:pPr>
        <w:jc w:val="center"/>
        <w:rPr>
          <w:rFonts w:ascii="Segoe UI" w:hAnsi="Segoe UI" w:cs="Segoe UI"/>
          <w:b/>
        </w:rPr>
      </w:pPr>
      <w:r w:rsidRPr="005C2C6E">
        <w:rPr>
          <w:rFonts w:ascii="Segoe UI" w:hAnsi="Segoe UI" w:cs="Segoe UI"/>
          <w:b/>
        </w:rPr>
        <w:t>Performance Report</w:t>
      </w:r>
      <w:r w:rsidR="00C40728" w:rsidRPr="005C2C6E">
        <w:rPr>
          <w:rFonts w:ascii="Segoe UI" w:hAnsi="Segoe UI" w:cs="Segoe UI"/>
          <w:b/>
        </w:rPr>
        <w:t xml:space="preserve"> </w:t>
      </w:r>
      <w:r w:rsidR="00243EF5">
        <w:rPr>
          <w:rFonts w:ascii="Segoe UI" w:hAnsi="Segoe UI" w:cs="Segoe UI"/>
          <w:b/>
        </w:rPr>
        <w:t>Q4</w:t>
      </w:r>
    </w:p>
    <w:p w:rsidR="00F715FD" w:rsidRPr="005C2C6E" w:rsidRDefault="00C40728" w:rsidP="00FD2279">
      <w:pPr>
        <w:jc w:val="center"/>
        <w:rPr>
          <w:rFonts w:ascii="Segoe UI" w:hAnsi="Segoe UI" w:cs="Segoe UI"/>
          <w:b/>
        </w:rPr>
      </w:pPr>
      <w:r w:rsidRPr="005C2C6E">
        <w:rPr>
          <w:rFonts w:ascii="Segoe UI" w:hAnsi="Segoe UI" w:cs="Segoe UI"/>
          <w:b/>
        </w:rPr>
        <w:t>(</w:t>
      </w:r>
      <w:r w:rsidR="00243EF5">
        <w:rPr>
          <w:rFonts w:ascii="Segoe UI" w:hAnsi="Segoe UI" w:cs="Segoe UI"/>
          <w:b/>
        </w:rPr>
        <w:t>January 2018</w:t>
      </w:r>
      <w:r w:rsidR="00C6357C" w:rsidRPr="005C2C6E">
        <w:rPr>
          <w:rFonts w:ascii="Segoe UI" w:hAnsi="Segoe UI" w:cs="Segoe UI"/>
          <w:b/>
        </w:rPr>
        <w:t xml:space="preserve"> </w:t>
      </w:r>
      <w:r w:rsidR="00C855F5" w:rsidRPr="005C2C6E">
        <w:rPr>
          <w:rFonts w:ascii="Segoe UI" w:hAnsi="Segoe UI" w:cs="Segoe UI"/>
          <w:b/>
        </w:rPr>
        <w:t>–</w:t>
      </w:r>
      <w:r w:rsidR="00C6357C" w:rsidRPr="005C2C6E">
        <w:rPr>
          <w:rFonts w:ascii="Segoe UI" w:hAnsi="Segoe UI" w:cs="Segoe UI"/>
          <w:b/>
        </w:rPr>
        <w:t xml:space="preserve"> </w:t>
      </w:r>
      <w:r w:rsidR="00243EF5">
        <w:rPr>
          <w:rFonts w:ascii="Segoe UI" w:hAnsi="Segoe UI" w:cs="Segoe UI"/>
          <w:b/>
        </w:rPr>
        <w:t>March 2018</w:t>
      </w:r>
      <w:r w:rsidR="009B1280" w:rsidRPr="005C2C6E">
        <w:rPr>
          <w:rFonts w:ascii="Segoe UI" w:hAnsi="Segoe UI" w:cs="Segoe UI"/>
          <w:b/>
        </w:rPr>
        <w:t>)</w:t>
      </w:r>
      <w:r w:rsidR="00F715FD" w:rsidRPr="005C2C6E">
        <w:rPr>
          <w:rFonts w:ascii="Segoe UI" w:hAnsi="Segoe UI" w:cs="Segoe UI"/>
          <w:b/>
        </w:rPr>
        <w:t xml:space="preserve">  </w:t>
      </w:r>
    </w:p>
    <w:p w:rsidR="005D3499" w:rsidRPr="005C2C6E" w:rsidRDefault="005D3499">
      <w:pPr>
        <w:rPr>
          <w:rFonts w:ascii="Segoe UI" w:hAnsi="Segoe UI" w:cs="Segoe UI"/>
          <w:b/>
        </w:rPr>
      </w:pPr>
    </w:p>
    <w:p w:rsidR="00241A66" w:rsidRPr="005C2C6E" w:rsidRDefault="00F715FD" w:rsidP="00241A66">
      <w:pPr>
        <w:jc w:val="center"/>
        <w:rPr>
          <w:rFonts w:ascii="Segoe UI" w:hAnsi="Segoe UI" w:cs="Segoe UI"/>
        </w:rPr>
      </w:pPr>
      <w:r w:rsidRPr="005C2C6E">
        <w:rPr>
          <w:rFonts w:ascii="Segoe UI" w:hAnsi="Segoe UI" w:cs="Segoe UI"/>
          <w:b/>
          <w:u w:val="single"/>
        </w:rPr>
        <w:t xml:space="preserve">For: </w:t>
      </w:r>
      <w:r w:rsidR="00292613" w:rsidRPr="005C2C6E">
        <w:rPr>
          <w:rFonts w:ascii="Segoe UI" w:hAnsi="Segoe UI" w:cs="Segoe UI"/>
          <w:b/>
          <w:u w:val="single"/>
        </w:rPr>
        <w:t>Information</w:t>
      </w:r>
    </w:p>
    <w:p w:rsidR="00292613" w:rsidRPr="005C2C6E" w:rsidRDefault="00292613">
      <w:pPr>
        <w:rPr>
          <w:rFonts w:ascii="Segoe UI" w:hAnsi="Segoe UI" w:cs="Segoe UI"/>
          <w:b/>
        </w:rPr>
      </w:pPr>
    </w:p>
    <w:p w:rsidR="007A2CF0" w:rsidRPr="005C2C6E" w:rsidRDefault="007A2CF0" w:rsidP="007A2CF0">
      <w:pPr>
        <w:jc w:val="both"/>
        <w:rPr>
          <w:rFonts w:ascii="Segoe UI" w:hAnsi="Segoe UI" w:cs="Segoe UI"/>
          <w:b/>
        </w:rPr>
      </w:pPr>
      <w:r w:rsidRPr="005C2C6E">
        <w:rPr>
          <w:rFonts w:ascii="Segoe UI" w:hAnsi="Segoe UI" w:cs="Segoe UI"/>
          <w:b/>
        </w:rPr>
        <w:t>Executive Summary</w:t>
      </w:r>
    </w:p>
    <w:p w:rsidR="007A2CF0" w:rsidRPr="005C2C6E" w:rsidRDefault="007A2CF0" w:rsidP="007A2CF0">
      <w:pPr>
        <w:jc w:val="both"/>
        <w:rPr>
          <w:rFonts w:ascii="Segoe UI" w:hAnsi="Segoe UI" w:cs="Segoe UI"/>
          <w:i/>
        </w:rPr>
      </w:pPr>
      <w:bookmarkStart w:id="0" w:name="_GoBack"/>
      <w:bookmarkEnd w:id="0"/>
    </w:p>
    <w:p w:rsidR="00533F41" w:rsidRPr="005C2C6E" w:rsidRDefault="00C40728" w:rsidP="007A2CF0">
      <w:pPr>
        <w:jc w:val="both"/>
        <w:rPr>
          <w:rFonts w:ascii="Arial" w:hAnsi="Arial" w:cs="Arial"/>
        </w:rPr>
      </w:pPr>
      <w:r w:rsidRPr="005C2C6E">
        <w:rPr>
          <w:rFonts w:ascii="Arial" w:hAnsi="Arial" w:cs="Arial"/>
        </w:rPr>
        <w:t>This</w:t>
      </w:r>
      <w:r w:rsidR="009B1280" w:rsidRPr="005C2C6E">
        <w:rPr>
          <w:rFonts w:ascii="Arial" w:hAnsi="Arial" w:cs="Arial"/>
        </w:rPr>
        <w:t xml:space="preserve"> report provides </w:t>
      </w:r>
      <w:r w:rsidR="00276E7F" w:rsidRPr="005C2C6E">
        <w:rPr>
          <w:rFonts w:ascii="Arial" w:hAnsi="Arial" w:cs="Arial"/>
        </w:rPr>
        <w:t>a consolidated</w:t>
      </w:r>
      <w:r w:rsidR="009B1280" w:rsidRPr="005C2C6E">
        <w:rPr>
          <w:rFonts w:ascii="Arial" w:hAnsi="Arial" w:cs="Arial"/>
        </w:rPr>
        <w:t xml:space="preserve"> view of the Trusts performance against both national and </w:t>
      </w:r>
      <w:r w:rsidRPr="005C2C6E">
        <w:rPr>
          <w:rFonts w:ascii="Arial" w:hAnsi="Arial" w:cs="Arial"/>
        </w:rPr>
        <w:t>local (contracted) indicators</w:t>
      </w:r>
      <w:r w:rsidR="00276E7F" w:rsidRPr="005C2C6E">
        <w:rPr>
          <w:rFonts w:ascii="Arial" w:hAnsi="Arial" w:cs="Arial"/>
        </w:rPr>
        <w:t xml:space="preserve"> for </w:t>
      </w:r>
      <w:r w:rsidR="00777400" w:rsidRPr="00777400">
        <w:rPr>
          <w:rFonts w:ascii="Arial" w:hAnsi="Arial" w:cs="Arial"/>
          <w:b/>
        </w:rPr>
        <w:t>January – March 2018 (Q4)</w:t>
      </w:r>
      <w:r w:rsidRPr="005C2C6E">
        <w:rPr>
          <w:rFonts w:ascii="Arial" w:hAnsi="Arial" w:cs="Arial"/>
        </w:rPr>
        <w:t>.  A</w:t>
      </w:r>
      <w:r w:rsidR="009B1280" w:rsidRPr="005C2C6E">
        <w:rPr>
          <w:rFonts w:ascii="Arial" w:hAnsi="Arial" w:cs="Arial"/>
        </w:rPr>
        <w:t xml:space="preserve"> standard scorecard approach</w:t>
      </w:r>
      <w:r w:rsidRPr="005C2C6E">
        <w:rPr>
          <w:rFonts w:ascii="Arial" w:hAnsi="Arial" w:cs="Arial"/>
        </w:rPr>
        <w:t xml:space="preserve"> </w:t>
      </w:r>
      <w:r w:rsidR="005D20D4" w:rsidRPr="005C2C6E">
        <w:rPr>
          <w:rFonts w:ascii="Arial" w:hAnsi="Arial" w:cs="Arial"/>
        </w:rPr>
        <w:t>is used</w:t>
      </w:r>
      <w:r w:rsidRPr="005C2C6E">
        <w:rPr>
          <w:rFonts w:ascii="Arial" w:hAnsi="Arial" w:cs="Arial"/>
        </w:rPr>
        <w:t xml:space="preserve"> for all reporting within the Trust</w:t>
      </w:r>
      <w:r w:rsidR="009B1280" w:rsidRPr="005C2C6E">
        <w:rPr>
          <w:rFonts w:ascii="Arial" w:hAnsi="Arial" w:cs="Arial"/>
        </w:rPr>
        <w:t xml:space="preserve"> and </w:t>
      </w:r>
      <w:r w:rsidRPr="005C2C6E">
        <w:rPr>
          <w:rFonts w:ascii="Arial" w:hAnsi="Arial" w:cs="Arial"/>
        </w:rPr>
        <w:t xml:space="preserve">compliance against </w:t>
      </w:r>
      <w:r w:rsidR="007C5E98" w:rsidRPr="005C2C6E">
        <w:rPr>
          <w:rFonts w:ascii="Arial" w:hAnsi="Arial" w:cs="Arial"/>
        </w:rPr>
        <w:t>targets are</w:t>
      </w:r>
      <w:r w:rsidR="009B1280" w:rsidRPr="005C2C6E">
        <w:rPr>
          <w:rFonts w:ascii="Arial" w:hAnsi="Arial" w:cs="Arial"/>
        </w:rPr>
        <w:t xml:space="preserve"> measured using a RAG rating system.  This scoring system enables the performance team and operational services to identify areas for improvement and is supplemented by a narrative to explain any variation</w:t>
      </w:r>
      <w:r w:rsidR="007E3B7E" w:rsidRPr="005C2C6E">
        <w:rPr>
          <w:rFonts w:ascii="Arial" w:hAnsi="Arial" w:cs="Arial"/>
        </w:rPr>
        <w:t xml:space="preserve"> to targets</w:t>
      </w:r>
      <w:r w:rsidR="009B1280" w:rsidRPr="005C2C6E">
        <w:rPr>
          <w:rFonts w:ascii="Arial" w:hAnsi="Arial" w:cs="Arial"/>
        </w:rPr>
        <w:t xml:space="preserve"> and action plans. </w:t>
      </w:r>
      <w:r w:rsidRPr="005C2C6E">
        <w:rPr>
          <w:rFonts w:ascii="Arial" w:hAnsi="Arial" w:cs="Arial"/>
        </w:rPr>
        <w:t xml:space="preserve">  Performance reporting is</w:t>
      </w:r>
      <w:r w:rsidR="00276E7F" w:rsidRPr="005C2C6E">
        <w:rPr>
          <w:rFonts w:ascii="Arial" w:hAnsi="Arial" w:cs="Arial"/>
        </w:rPr>
        <w:t xml:space="preserve"> presented monthly and</w:t>
      </w:r>
      <w:r w:rsidRPr="005C2C6E">
        <w:rPr>
          <w:rFonts w:ascii="Arial" w:hAnsi="Arial" w:cs="Arial"/>
        </w:rPr>
        <w:t xml:space="preserve"> </w:t>
      </w:r>
      <w:proofErr w:type="spellStart"/>
      <w:r w:rsidRPr="005C2C6E">
        <w:rPr>
          <w:rFonts w:ascii="Arial" w:hAnsi="Arial" w:cs="Arial"/>
        </w:rPr>
        <w:t>scrutinised</w:t>
      </w:r>
      <w:proofErr w:type="spellEnd"/>
      <w:r w:rsidRPr="005C2C6E">
        <w:rPr>
          <w:rFonts w:ascii="Arial" w:hAnsi="Arial" w:cs="Arial"/>
        </w:rPr>
        <w:t xml:space="preserve"> by various leadership and oversight committees up to and including the Trust Board</w:t>
      </w:r>
      <w:r w:rsidR="00276E7F" w:rsidRPr="005C2C6E">
        <w:rPr>
          <w:rFonts w:ascii="Arial" w:hAnsi="Arial" w:cs="Arial"/>
        </w:rPr>
        <w:t xml:space="preserve"> and C</w:t>
      </w:r>
      <w:r w:rsidRPr="005C2C6E">
        <w:rPr>
          <w:rFonts w:ascii="Arial" w:hAnsi="Arial" w:cs="Arial"/>
        </w:rPr>
        <w:t>ommissioners.</w:t>
      </w:r>
      <w:r w:rsidR="008620A8" w:rsidRPr="005C2C6E">
        <w:rPr>
          <w:rFonts w:ascii="Arial" w:hAnsi="Arial" w:cs="Arial"/>
        </w:rPr>
        <w:t xml:space="preserve">  See </w:t>
      </w:r>
      <w:r w:rsidR="008620A8" w:rsidRPr="005C2C6E">
        <w:rPr>
          <w:rFonts w:ascii="Arial" w:hAnsi="Arial" w:cs="Arial"/>
          <w:b/>
        </w:rPr>
        <w:t>Appendix 1</w:t>
      </w:r>
      <w:r w:rsidR="008620A8" w:rsidRPr="005C2C6E">
        <w:rPr>
          <w:rFonts w:ascii="Arial" w:hAnsi="Arial" w:cs="Arial"/>
        </w:rPr>
        <w:t xml:space="preserve"> for a diagram showing the Performance Governance Process.</w:t>
      </w:r>
    </w:p>
    <w:p w:rsidR="00533F41" w:rsidRPr="005C2C6E" w:rsidRDefault="00533F41" w:rsidP="007A2CF0">
      <w:pPr>
        <w:jc w:val="both"/>
        <w:rPr>
          <w:rFonts w:ascii="Arial" w:hAnsi="Arial" w:cs="Arial"/>
        </w:rPr>
      </w:pPr>
    </w:p>
    <w:p w:rsidR="00E94A21" w:rsidRPr="005C2C6E" w:rsidRDefault="00B508F4" w:rsidP="00E94A21">
      <w:pPr>
        <w:jc w:val="both"/>
        <w:rPr>
          <w:rFonts w:ascii="Arial" w:hAnsi="Arial" w:cs="Arial"/>
        </w:rPr>
      </w:pPr>
      <w:r>
        <w:rPr>
          <w:rFonts w:ascii="Arial" w:hAnsi="Arial" w:cs="Arial"/>
        </w:rPr>
        <w:t xml:space="preserve">The Trust has consistently met or exceeded circa. 90% of all contracted performance indicators.  A diagram showing Trust performance over time is included in Fig 1.  A view on performance by Directorate is included as Fig 2.  </w:t>
      </w:r>
      <w:r w:rsidR="00E94A21" w:rsidRPr="005C2C6E">
        <w:rPr>
          <w:rFonts w:ascii="Arial" w:hAnsi="Arial" w:cs="Arial"/>
        </w:rPr>
        <w:t>This</w:t>
      </w:r>
      <w:r>
        <w:rPr>
          <w:rFonts w:ascii="Arial" w:hAnsi="Arial" w:cs="Arial"/>
        </w:rPr>
        <w:t xml:space="preserve"> evidence</w:t>
      </w:r>
      <w:r w:rsidR="00E94A21" w:rsidRPr="005C2C6E">
        <w:rPr>
          <w:rFonts w:ascii="Arial" w:hAnsi="Arial" w:cs="Arial"/>
        </w:rPr>
        <w:t xml:space="preserve"> demonstrates that the Trust is consistently delivering a strong performance</w:t>
      </w:r>
      <w:r w:rsidR="004B24B2" w:rsidRPr="005C2C6E">
        <w:rPr>
          <w:rFonts w:ascii="Arial" w:hAnsi="Arial" w:cs="Arial"/>
        </w:rPr>
        <w:t xml:space="preserve"> against contractual targets set by Clinical Commissioning Groups (CCG’s)</w:t>
      </w:r>
      <w:r w:rsidR="00E94A21" w:rsidRPr="005C2C6E">
        <w:rPr>
          <w:rFonts w:ascii="Arial" w:hAnsi="Arial" w:cs="Arial"/>
        </w:rPr>
        <w:t xml:space="preserve">. </w:t>
      </w:r>
    </w:p>
    <w:p w:rsidR="00E94A21" w:rsidRPr="005C2C6E" w:rsidRDefault="00E94A21" w:rsidP="007A2CF0">
      <w:pPr>
        <w:jc w:val="both"/>
        <w:rPr>
          <w:rFonts w:ascii="Arial" w:hAnsi="Arial" w:cs="Arial"/>
        </w:rPr>
      </w:pPr>
    </w:p>
    <w:p w:rsidR="009B1280" w:rsidRPr="005C2C6E" w:rsidRDefault="00533F41" w:rsidP="007A2CF0">
      <w:pPr>
        <w:jc w:val="both"/>
        <w:rPr>
          <w:rFonts w:ascii="Arial" w:hAnsi="Arial" w:cs="Arial"/>
        </w:rPr>
      </w:pPr>
      <w:r w:rsidRPr="005C2C6E">
        <w:rPr>
          <w:rFonts w:ascii="Arial" w:hAnsi="Arial" w:cs="Arial"/>
        </w:rPr>
        <w:t xml:space="preserve">In addition to </w:t>
      </w:r>
      <w:r w:rsidR="00B508F4">
        <w:rPr>
          <w:rFonts w:ascii="Arial" w:hAnsi="Arial" w:cs="Arial"/>
        </w:rPr>
        <w:t>the Trust’s</w:t>
      </w:r>
      <w:r w:rsidRPr="005C2C6E">
        <w:rPr>
          <w:rFonts w:ascii="Arial" w:hAnsi="Arial" w:cs="Arial"/>
        </w:rPr>
        <w:t xml:space="preserve"> local</w:t>
      </w:r>
      <w:r w:rsidR="00B508F4">
        <w:rPr>
          <w:rFonts w:ascii="Arial" w:hAnsi="Arial" w:cs="Arial"/>
        </w:rPr>
        <w:t>ly contracted commitment</w:t>
      </w:r>
      <w:r w:rsidRPr="005C2C6E">
        <w:rPr>
          <w:rFonts w:ascii="Arial" w:hAnsi="Arial" w:cs="Arial"/>
        </w:rPr>
        <w:t xml:space="preserve">, </w:t>
      </w:r>
      <w:r w:rsidR="00B508F4">
        <w:rPr>
          <w:rFonts w:ascii="Arial" w:hAnsi="Arial" w:cs="Arial"/>
        </w:rPr>
        <w:t xml:space="preserve">there is also a national requirement </w:t>
      </w:r>
      <w:r w:rsidR="00C40728" w:rsidRPr="005C2C6E">
        <w:rPr>
          <w:rFonts w:ascii="Arial" w:hAnsi="Arial" w:cs="Arial"/>
        </w:rPr>
        <w:t xml:space="preserve">to report </w:t>
      </w:r>
      <w:r w:rsidR="00B508F4">
        <w:rPr>
          <w:rFonts w:ascii="Arial" w:hAnsi="Arial" w:cs="Arial"/>
        </w:rPr>
        <w:t>against targets defined within the</w:t>
      </w:r>
      <w:r w:rsidRPr="005C2C6E">
        <w:rPr>
          <w:rFonts w:ascii="Arial" w:hAnsi="Arial" w:cs="Arial"/>
        </w:rPr>
        <w:t xml:space="preserve"> NHS Single Oversight Framework</w:t>
      </w:r>
      <w:r w:rsidR="00C40728" w:rsidRPr="005C2C6E">
        <w:rPr>
          <w:rFonts w:ascii="Arial" w:hAnsi="Arial" w:cs="Arial"/>
        </w:rPr>
        <w:t>.  These</w:t>
      </w:r>
      <w:r w:rsidRPr="005C2C6E">
        <w:rPr>
          <w:rFonts w:ascii="Arial" w:hAnsi="Arial" w:cs="Arial"/>
        </w:rPr>
        <w:t xml:space="preserve"> indicators hav</w:t>
      </w:r>
      <w:r w:rsidR="00C40728" w:rsidRPr="005C2C6E">
        <w:rPr>
          <w:rFonts w:ascii="Arial" w:hAnsi="Arial" w:cs="Arial"/>
        </w:rPr>
        <w:t xml:space="preserve">e been included within </w:t>
      </w:r>
      <w:r w:rsidR="00B508F4">
        <w:rPr>
          <w:rFonts w:ascii="Arial" w:hAnsi="Arial" w:cs="Arial"/>
        </w:rPr>
        <w:t>the reports provided</w:t>
      </w:r>
      <w:r w:rsidR="00C40728" w:rsidRPr="005C2C6E">
        <w:rPr>
          <w:rFonts w:ascii="Arial" w:hAnsi="Arial" w:cs="Arial"/>
        </w:rPr>
        <w:t xml:space="preserve"> </w:t>
      </w:r>
      <w:r w:rsidR="00EE17F7" w:rsidRPr="005C2C6E">
        <w:rPr>
          <w:rFonts w:ascii="Arial" w:hAnsi="Arial" w:cs="Arial"/>
        </w:rPr>
        <w:t>so that there is a</w:t>
      </w:r>
      <w:r w:rsidRPr="005C2C6E">
        <w:rPr>
          <w:rFonts w:ascii="Arial" w:hAnsi="Arial" w:cs="Arial"/>
        </w:rPr>
        <w:t xml:space="preserve"> consistent format both within and external to the Trust. </w:t>
      </w:r>
      <w:r w:rsidR="009B1280" w:rsidRPr="005C2C6E">
        <w:rPr>
          <w:rFonts w:ascii="Arial" w:hAnsi="Arial" w:cs="Arial"/>
        </w:rPr>
        <w:t xml:space="preserve"> </w:t>
      </w:r>
      <w:r w:rsidRPr="005C2C6E">
        <w:rPr>
          <w:rFonts w:ascii="Arial" w:hAnsi="Arial" w:cs="Arial"/>
        </w:rPr>
        <w:t>Furt</w:t>
      </w:r>
      <w:r w:rsidR="00C40728" w:rsidRPr="005C2C6E">
        <w:rPr>
          <w:rFonts w:ascii="Arial" w:hAnsi="Arial" w:cs="Arial"/>
        </w:rPr>
        <w:t xml:space="preserve">her work to develop </w:t>
      </w:r>
      <w:r w:rsidR="00B508F4">
        <w:rPr>
          <w:rFonts w:ascii="Arial" w:hAnsi="Arial" w:cs="Arial"/>
        </w:rPr>
        <w:t>the</w:t>
      </w:r>
      <w:r w:rsidR="00656584" w:rsidRPr="005C2C6E">
        <w:rPr>
          <w:rFonts w:ascii="Arial" w:hAnsi="Arial" w:cs="Arial"/>
        </w:rPr>
        <w:t xml:space="preserve"> reporting in this area</w:t>
      </w:r>
      <w:r w:rsidR="00C40728" w:rsidRPr="005C2C6E">
        <w:rPr>
          <w:rFonts w:ascii="Arial" w:hAnsi="Arial" w:cs="Arial"/>
        </w:rPr>
        <w:t xml:space="preserve"> continues</w:t>
      </w:r>
      <w:r w:rsidRPr="005C2C6E">
        <w:rPr>
          <w:rFonts w:ascii="Arial" w:hAnsi="Arial" w:cs="Arial"/>
        </w:rPr>
        <w:t>.</w:t>
      </w:r>
    </w:p>
    <w:p w:rsidR="009B1280" w:rsidRPr="005C2C6E" w:rsidRDefault="009B1280" w:rsidP="007A2CF0">
      <w:pPr>
        <w:jc w:val="both"/>
        <w:rPr>
          <w:rFonts w:ascii="Arial" w:hAnsi="Arial" w:cs="Arial"/>
        </w:rPr>
      </w:pPr>
    </w:p>
    <w:p w:rsidR="0093333D" w:rsidRDefault="0093333D" w:rsidP="007A2CF0">
      <w:pPr>
        <w:jc w:val="both"/>
        <w:rPr>
          <w:rFonts w:ascii="Arial" w:hAnsi="Arial" w:cs="Arial"/>
        </w:rPr>
      </w:pPr>
    </w:p>
    <w:p w:rsidR="00D227FC" w:rsidRPr="005C2C6E" w:rsidRDefault="00D227FC" w:rsidP="007A2CF0">
      <w:pPr>
        <w:jc w:val="both"/>
        <w:rPr>
          <w:rFonts w:ascii="Arial" w:hAnsi="Arial" w:cs="Arial"/>
        </w:rPr>
      </w:pPr>
    </w:p>
    <w:p w:rsidR="0093333D" w:rsidRPr="005C2C6E" w:rsidRDefault="0093333D" w:rsidP="0093333D">
      <w:pPr>
        <w:jc w:val="both"/>
        <w:rPr>
          <w:rFonts w:ascii="Arial" w:hAnsi="Arial" w:cs="Arial"/>
        </w:rPr>
      </w:pPr>
    </w:p>
    <w:p w:rsidR="0093333D" w:rsidRDefault="0093333D" w:rsidP="0093333D">
      <w:pPr>
        <w:jc w:val="both"/>
        <w:rPr>
          <w:rFonts w:ascii="Arial" w:hAnsi="Arial" w:cs="Arial"/>
          <w:b/>
        </w:rPr>
      </w:pPr>
      <w:r w:rsidRPr="005C2C6E">
        <w:rPr>
          <w:rFonts w:ascii="Arial" w:hAnsi="Arial" w:cs="Arial"/>
          <w:b/>
        </w:rPr>
        <w:lastRenderedPageBreak/>
        <w:t>Fig 1.</w:t>
      </w:r>
      <w:r w:rsidR="00C40728" w:rsidRPr="005C2C6E">
        <w:rPr>
          <w:rFonts w:ascii="Arial" w:hAnsi="Arial" w:cs="Arial"/>
          <w:b/>
        </w:rPr>
        <w:t xml:space="preserve"> Compliance against overall contracted targets</w:t>
      </w:r>
      <w:r w:rsidR="003B4537" w:rsidRPr="005C2C6E">
        <w:rPr>
          <w:rFonts w:ascii="Arial" w:hAnsi="Arial" w:cs="Arial"/>
          <w:b/>
        </w:rPr>
        <w:t>:</w:t>
      </w:r>
    </w:p>
    <w:p w:rsidR="00F90501" w:rsidRDefault="00F90501" w:rsidP="0093333D">
      <w:pPr>
        <w:jc w:val="both"/>
        <w:rPr>
          <w:rFonts w:ascii="Arial" w:hAnsi="Arial" w:cs="Arial"/>
          <w:b/>
        </w:rPr>
      </w:pPr>
    </w:p>
    <w:p w:rsidR="00F90501" w:rsidRPr="005C2C6E" w:rsidRDefault="00777400" w:rsidP="00F90501">
      <w:pPr>
        <w:jc w:val="center"/>
        <w:rPr>
          <w:rFonts w:ascii="Arial" w:hAnsi="Arial" w:cs="Arial"/>
          <w:b/>
        </w:rPr>
      </w:pPr>
      <w:r>
        <w:rPr>
          <w:noProof/>
          <w:lang w:val="en-GB" w:eastAsia="en-GB"/>
        </w:rPr>
        <w:drawing>
          <wp:inline distT="0" distB="0" distL="0" distR="0" wp14:anchorId="72548087" wp14:editId="2ED3B0AF">
            <wp:extent cx="4819650" cy="2609850"/>
            <wp:effectExtent l="0" t="0" r="0" b="0"/>
            <wp:docPr id="3" name="Chart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4537" w:rsidRPr="005C2C6E" w:rsidRDefault="003B4537" w:rsidP="0093333D">
      <w:pPr>
        <w:jc w:val="both"/>
        <w:rPr>
          <w:rFonts w:ascii="Arial" w:hAnsi="Arial" w:cs="Arial"/>
          <w:b/>
        </w:rPr>
      </w:pPr>
    </w:p>
    <w:p w:rsidR="00C40728" w:rsidRPr="005C2C6E" w:rsidRDefault="00C6357C" w:rsidP="0093333D">
      <w:pPr>
        <w:jc w:val="both"/>
        <w:rPr>
          <w:rFonts w:ascii="Arial" w:hAnsi="Arial" w:cs="Arial"/>
        </w:rPr>
      </w:pPr>
      <w:r w:rsidRPr="005C2C6E">
        <w:rPr>
          <w:rFonts w:ascii="Arial" w:hAnsi="Arial" w:cs="Arial"/>
        </w:rPr>
        <w:t>At an individual Directorate level:</w:t>
      </w:r>
    </w:p>
    <w:p w:rsidR="00C6357C" w:rsidRPr="00D227FC" w:rsidRDefault="00C6357C" w:rsidP="00C6357C">
      <w:pPr>
        <w:pStyle w:val="ListParagraph"/>
        <w:numPr>
          <w:ilvl w:val="0"/>
          <w:numId w:val="8"/>
        </w:numPr>
        <w:spacing w:before="300"/>
        <w:rPr>
          <w:rFonts w:ascii="Arial" w:hAnsi="Arial" w:cs="Arial"/>
        </w:rPr>
      </w:pPr>
      <w:r w:rsidRPr="00D227FC">
        <w:rPr>
          <w:rFonts w:ascii="Arial" w:hAnsi="Arial" w:cs="Arial"/>
          <w:b/>
        </w:rPr>
        <w:t>Children and Young People (CYP) Directorate</w:t>
      </w:r>
      <w:r w:rsidR="00674B5D" w:rsidRPr="00D227FC">
        <w:rPr>
          <w:rFonts w:ascii="Arial" w:hAnsi="Arial" w:cs="Arial"/>
        </w:rPr>
        <w:t xml:space="preserve"> performance has </w:t>
      </w:r>
      <w:r w:rsidR="003B4537" w:rsidRPr="00D227FC">
        <w:rPr>
          <w:rFonts w:ascii="Arial" w:hAnsi="Arial" w:cs="Arial"/>
        </w:rPr>
        <w:t>remained consistently around 95</w:t>
      </w:r>
      <w:r w:rsidRPr="00D227FC">
        <w:rPr>
          <w:rFonts w:ascii="Arial" w:hAnsi="Arial" w:cs="Arial"/>
        </w:rPr>
        <w:t>% since the start of the reporting year</w:t>
      </w:r>
      <w:r w:rsidR="00962A8E" w:rsidRPr="00D227FC">
        <w:rPr>
          <w:rFonts w:ascii="Arial" w:hAnsi="Arial" w:cs="Arial"/>
        </w:rPr>
        <w:t xml:space="preserve"> and has averaged 95% during Q4</w:t>
      </w:r>
      <w:r w:rsidR="00F90501" w:rsidRPr="00D227FC">
        <w:rPr>
          <w:rFonts w:ascii="Arial" w:hAnsi="Arial" w:cs="Arial"/>
        </w:rPr>
        <w:t xml:space="preserve"> </w:t>
      </w:r>
      <w:r w:rsidR="00674B5D" w:rsidRPr="00D227FC">
        <w:rPr>
          <w:rFonts w:ascii="Arial" w:hAnsi="Arial" w:cs="Arial"/>
        </w:rPr>
        <w:t>(</w:t>
      </w:r>
      <w:r w:rsidR="00962A8E" w:rsidRPr="00D227FC">
        <w:rPr>
          <w:rFonts w:ascii="Arial" w:hAnsi="Arial" w:cs="Arial"/>
        </w:rPr>
        <w:t xml:space="preserve">January </w:t>
      </w:r>
      <w:r w:rsidR="00674B5D" w:rsidRPr="00D227FC">
        <w:rPr>
          <w:rFonts w:ascii="Arial" w:hAnsi="Arial" w:cs="Arial"/>
        </w:rPr>
        <w:t xml:space="preserve">– </w:t>
      </w:r>
      <w:r w:rsidR="00962A8E" w:rsidRPr="00D227FC">
        <w:rPr>
          <w:rFonts w:ascii="Arial" w:hAnsi="Arial" w:cs="Arial"/>
        </w:rPr>
        <w:t>March 2018</w:t>
      </w:r>
      <w:r w:rsidR="00674B5D" w:rsidRPr="00D227FC">
        <w:rPr>
          <w:rFonts w:ascii="Arial" w:hAnsi="Arial" w:cs="Arial"/>
        </w:rPr>
        <w:t>)</w:t>
      </w:r>
    </w:p>
    <w:p w:rsidR="00D227FC" w:rsidRPr="00D227FC" w:rsidRDefault="005D0E04" w:rsidP="00D227FC">
      <w:pPr>
        <w:pStyle w:val="ListParagraph"/>
        <w:numPr>
          <w:ilvl w:val="0"/>
          <w:numId w:val="8"/>
        </w:numPr>
        <w:spacing w:before="300"/>
        <w:rPr>
          <w:rFonts w:ascii="Arial" w:hAnsi="Arial" w:cs="Arial"/>
        </w:rPr>
      </w:pPr>
      <w:r w:rsidRPr="00D227FC">
        <w:rPr>
          <w:rFonts w:ascii="Arial" w:hAnsi="Arial" w:cs="Arial"/>
          <w:b/>
        </w:rPr>
        <w:t>Adults of Working Age (AWA) Directorate</w:t>
      </w:r>
      <w:r w:rsidRPr="00D227FC">
        <w:rPr>
          <w:rFonts w:ascii="Arial" w:hAnsi="Arial" w:cs="Arial"/>
        </w:rPr>
        <w:t xml:space="preserve"> </w:t>
      </w:r>
      <w:r w:rsidR="00D227FC" w:rsidRPr="00D227FC">
        <w:rPr>
          <w:rFonts w:ascii="Arial" w:hAnsi="Arial" w:cs="Arial"/>
        </w:rPr>
        <w:t xml:space="preserve">performance continues to improve from a position 58% late 2016 with an average of 75% year to date and 75% over the Q4 (January - March 2018).   </w:t>
      </w:r>
    </w:p>
    <w:p w:rsidR="00D227FC" w:rsidRPr="00D227FC" w:rsidRDefault="00D227FC" w:rsidP="00D227FC">
      <w:pPr>
        <w:pStyle w:val="ListParagraph"/>
        <w:spacing w:before="300"/>
        <w:contextualSpacing/>
        <w:jc w:val="both"/>
        <w:rPr>
          <w:rFonts w:ascii="Arial" w:hAnsi="Arial" w:cs="Arial"/>
        </w:rPr>
      </w:pPr>
    </w:p>
    <w:p w:rsidR="005D0E04" w:rsidRPr="00D227FC" w:rsidRDefault="005D0E04" w:rsidP="005D0E04">
      <w:pPr>
        <w:pStyle w:val="ListParagraph"/>
        <w:numPr>
          <w:ilvl w:val="0"/>
          <w:numId w:val="8"/>
        </w:numPr>
        <w:spacing w:before="300"/>
        <w:contextualSpacing/>
        <w:jc w:val="both"/>
        <w:rPr>
          <w:rFonts w:ascii="Arial" w:hAnsi="Arial" w:cs="Arial"/>
        </w:rPr>
      </w:pPr>
      <w:r w:rsidRPr="00D227FC">
        <w:rPr>
          <w:rFonts w:ascii="Arial" w:hAnsi="Arial" w:cs="Arial"/>
          <w:b/>
        </w:rPr>
        <w:t>Older People’s Directorate (OPD)</w:t>
      </w:r>
      <w:r w:rsidRPr="00D227FC">
        <w:rPr>
          <w:rFonts w:ascii="Arial" w:hAnsi="Arial" w:cs="Arial"/>
        </w:rPr>
        <w:t xml:space="preserve"> performance has averaged 76% since M1</w:t>
      </w:r>
      <w:r w:rsidR="00D227FC" w:rsidRPr="00D227FC">
        <w:rPr>
          <w:rFonts w:ascii="Arial" w:hAnsi="Arial" w:cs="Arial"/>
        </w:rPr>
        <w:t xml:space="preserve"> and 75% over Q4 (January to March 2018)</w:t>
      </w:r>
    </w:p>
    <w:p w:rsidR="00C57358" w:rsidRDefault="00D227FC" w:rsidP="002432A2">
      <w:pPr>
        <w:spacing w:before="300"/>
        <w:jc w:val="center"/>
        <w:rPr>
          <w:rFonts w:ascii="Segoe UI" w:hAnsi="Segoe UI" w:cs="Segoe UI"/>
          <w:sz w:val="22"/>
        </w:rPr>
      </w:pPr>
      <w:r>
        <w:rPr>
          <w:noProof/>
          <w:lang w:val="en-GB" w:eastAsia="en-GB"/>
        </w:rPr>
        <w:drawing>
          <wp:inline distT="0" distB="0" distL="0" distR="0" wp14:anchorId="6E46E6BD" wp14:editId="310EC7EA">
            <wp:extent cx="4817660" cy="2694580"/>
            <wp:effectExtent l="0" t="0" r="2540" b="10795"/>
            <wp:docPr id="74" name="Chart 74">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1280" w:rsidRPr="005C2C6E" w:rsidRDefault="0093333D" w:rsidP="007A2CF0">
      <w:pPr>
        <w:jc w:val="both"/>
        <w:rPr>
          <w:rFonts w:ascii="Arial" w:hAnsi="Arial" w:cs="Arial"/>
        </w:rPr>
      </w:pPr>
      <w:r w:rsidRPr="005C2C6E">
        <w:rPr>
          <w:rFonts w:ascii="Arial" w:hAnsi="Arial" w:cs="Arial"/>
        </w:rPr>
        <w:t xml:space="preserve">   </w:t>
      </w:r>
    </w:p>
    <w:p w:rsidR="00895A10" w:rsidRPr="005C2C6E" w:rsidRDefault="00895A10" w:rsidP="0093333D">
      <w:pPr>
        <w:jc w:val="both"/>
        <w:rPr>
          <w:rFonts w:ascii="Arial" w:hAnsi="Arial" w:cs="Arial"/>
        </w:rPr>
      </w:pPr>
      <w:r w:rsidRPr="005C2C6E">
        <w:rPr>
          <w:rFonts w:ascii="Arial" w:hAnsi="Arial" w:cs="Arial"/>
        </w:rPr>
        <w:lastRenderedPageBreak/>
        <w:t>Although the majority of performance indicators are being consistently achieved each month, the Trust continues to underperform in a small number of key areas.</w:t>
      </w:r>
    </w:p>
    <w:p w:rsidR="00895A10" w:rsidRPr="005C2C6E" w:rsidRDefault="00895A10" w:rsidP="0093333D">
      <w:pPr>
        <w:jc w:val="both"/>
        <w:rPr>
          <w:rFonts w:ascii="Arial" w:hAnsi="Arial" w:cs="Arial"/>
        </w:rPr>
      </w:pPr>
    </w:p>
    <w:p w:rsidR="005D20D4" w:rsidRPr="005C2C6E" w:rsidRDefault="005D20D4" w:rsidP="009869CE">
      <w:pPr>
        <w:jc w:val="both"/>
        <w:rPr>
          <w:rFonts w:ascii="Arial" w:hAnsi="Arial" w:cs="Arial"/>
          <w:b/>
        </w:rPr>
      </w:pPr>
      <w:r w:rsidRPr="005C2C6E">
        <w:rPr>
          <w:rFonts w:ascii="Arial" w:hAnsi="Arial" w:cs="Arial"/>
          <w:b/>
        </w:rPr>
        <w:t>Children &amp; Young People</w:t>
      </w:r>
    </w:p>
    <w:p w:rsidR="005D20D4" w:rsidRPr="005C2C6E" w:rsidRDefault="005D20D4" w:rsidP="009869CE">
      <w:pPr>
        <w:jc w:val="both"/>
        <w:rPr>
          <w:rFonts w:ascii="Arial" w:hAnsi="Arial" w:cs="Arial"/>
        </w:rPr>
      </w:pPr>
    </w:p>
    <w:p w:rsidR="005D20D4" w:rsidRPr="005C2C6E" w:rsidRDefault="005D20D4" w:rsidP="005D20D4">
      <w:pPr>
        <w:jc w:val="both"/>
        <w:rPr>
          <w:rFonts w:ascii="Arial" w:hAnsi="Arial" w:cs="Arial"/>
        </w:rPr>
      </w:pPr>
      <w:r w:rsidRPr="005C2C6E">
        <w:rPr>
          <w:rFonts w:ascii="Arial" w:hAnsi="Arial" w:cs="Arial"/>
        </w:rPr>
        <w:t xml:space="preserve">In looking at the performance trends and identifying areas where further action is required, the following issues have been </w:t>
      </w:r>
      <w:r w:rsidR="0052560D">
        <w:rPr>
          <w:rFonts w:ascii="Arial" w:hAnsi="Arial" w:cs="Arial"/>
        </w:rPr>
        <w:t>reported to the Operations Management Team and the Board of Directors:</w:t>
      </w:r>
    </w:p>
    <w:p w:rsidR="005D20D4" w:rsidRPr="005C2C6E" w:rsidRDefault="005D20D4" w:rsidP="005D20D4">
      <w:pPr>
        <w:pStyle w:val="ListParagraph"/>
        <w:jc w:val="both"/>
        <w:rPr>
          <w:rFonts w:ascii="Arial" w:hAnsi="Arial" w:cs="Arial"/>
        </w:rPr>
      </w:pPr>
    </w:p>
    <w:p w:rsidR="0076314E" w:rsidRDefault="0076314E" w:rsidP="005D20D4">
      <w:pPr>
        <w:pStyle w:val="ListParagraph"/>
        <w:numPr>
          <w:ilvl w:val="0"/>
          <w:numId w:val="9"/>
        </w:numPr>
        <w:jc w:val="both"/>
        <w:rPr>
          <w:rFonts w:ascii="Arial" w:hAnsi="Arial" w:cs="Arial"/>
        </w:rPr>
      </w:pPr>
      <w:r w:rsidRPr="000A47D9">
        <w:rPr>
          <w:rFonts w:ascii="Arial" w:hAnsi="Arial" w:cs="Arial"/>
          <w:b/>
        </w:rPr>
        <w:t>Oxfordshire CAMHS</w:t>
      </w:r>
      <w:r>
        <w:rPr>
          <w:rFonts w:ascii="Arial" w:hAnsi="Arial" w:cs="Arial"/>
        </w:rPr>
        <w:t xml:space="preserve"> - </w:t>
      </w:r>
      <w:r w:rsidRPr="000A47D9">
        <w:rPr>
          <w:rFonts w:ascii="Arial" w:hAnsi="Arial" w:cs="Arial"/>
        </w:rPr>
        <w:t xml:space="preserve">As part of the transition to the new operating models and the realignment of teams, work to ensure that performance data is being reported accurately and in accordance with the new structure </w:t>
      </w:r>
      <w:r>
        <w:rPr>
          <w:rFonts w:ascii="Arial" w:hAnsi="Arial" w:cs="Arial"/>
        </w:rPr>
        <w:t>continues</w:t>
      </w:r>
      <w:r w:rsidRPr="000A47D9">
        <w:rPr>
          <w:rFonts w:ascii="Arial" w:hAnsi="Arial" w:cs="Arial"/>
        </w:rPr>
        <w:t xml:space="preserve">.  Some anomalies </w:t>
      </w:r>
      <w:r>
        <w:rPr>
          <w:rFonts w:ascii="Arial" w:hAnsi="Arial" w:cs="Arial"/>
        </w:rPr>
        <w:t>in reporting were recently</w:t>
      </w:r>
      <w:r w:rsidRPr="000A47D9">
        <w:rPr>
          <w:rFonts w:ascii="Arial" w:hAnsi="Arial" w:cs="Arial"/>
        </w:rPr>
        <w:t xml:space="preserve"> found</w:t>
      </w:r>
      <w:r>
        <w:rPr>
          <w:rFonts w:ascii="Arial" w:hAnsi="Arial" w:cs="Arial"/>
        </w:rPr>
        <w:t xml:space="preserve"> and</w:t>
      </w:r>
      <w:r w:rsidRPr="000A47D9">
        <w:rPr>
          <w:rFonts w:ascii="Arial" w:hAnsi="Arial" w:cs="Arial"/>
        </w:rPr>
        <w:t xml:space="preserve"> </w:t>
      </w:r>
      <w:r>
        <w:rPr>
          <w:rFonts w:ascii="Arial" w:hAnsi="Arial" w:cs="Arial"/>
        </w:rPr>
        <w:t>are currently being investigated.  Updates will be provided in reporting at the end of June 2018 and included within the next Council of Gov</w:t>
      </w:r>
      <w:r w:rsidR="0054519F">
        <w:rPr>
          <w:rFonts w:ascii="Arial" w:hAnsi="Arial" w:cs="Arial"/>
        </w:rPr>
        <w:t>ernors report in September 2018</w:t>
      </w:r>
    </w:p>
    <w:p w:rsidR="0054519F" w:rsidRDefault="0054519F" w:rsidP="0054519F">
      <w:pPr>
        <w:pStyle w:val="ListParagraph"/>
        <w:jc w:val="both"/>
        <w:rPr>
          <w:rFonts w:ascii="Arial" w:hAnsi="Arial" w:cs="Arial"/>
        </w:rPr>
      </w:pPr>
    </w:p>
    <w:p w:rsidR="0054519F" w:rsidRPr="00AD6DB3" w:rsidRDefault="0054519F" w:rsidP="0054519F">
      <w:pPr>
        <w:pStyle w:val="ListParagraph"/>
        <w:numPr>
          <w:ilvl w:val="0"/>
          <w:numId w:val="9"/>
        </w:numPr>
        <w:jc w:val="both"/>
        <w:rPr>
          <w:rFonts w:ascii="Arial" w:hAnsi="Arial" w:cs="Arial"/>
          <w:b/>
        </w:rPr>
      </w:pPr>
      <w:r>
        <w:rPr>
          <w:rFonts w:ascii="Arial" w:hAnsi="Arial" w:cs="Arial"/>
          <w:b/>
        </w:rPr>
        <w:t xml:space="preserve">Buckinghamshire </w:t>
      </w:r>
      <w:r w:rsidRPr="001A7443">
        <w:rPr>
          <w:rFonts w:ascii="Arial" w:hAnsi="Arial" w:cs="Arial"/>
          <w:b/>
        </w:rPr>
        <w:t>CAMHS ‘Getting More Help’</w:t>
      </w:r>
      <w:r>
        <w:rPr>
          <w:rFonts w:ascii="Arial" w:hAnsi="Arial" w:cs="Arial"/>
          <w:b/>
        </w:rPr>
        <w:t xml:space="preserve"> &amp; Targeted Pathway</w:t>
      </w:r>
      <w:r w:rsidRPr="001A7443">
        <w:rPr>
          <w:rFonts w:ascii="Arial" w:hAnsi="Arial" w:cs="Arial"/>
          <w:b/>
        </w:rPr>
        <w:t>, 4 Week Waits</w:t>
      </w:r>
      <w:r>
        <w:rPr>
          <w:rFonts w:ascii="Arial" w:hAnsi="Arial" w:cs="Arial"/>
        </w:rPr>
        <w:t xml:space="preserve"> – There has been a continuous improvement reported in both of these performance indicators since January.  As with the work in Oxfordshire, a data quality validation exercise is now underway. </w:t>
      </w:r>
    </w:p>
    <w:p w:rsidR="0076314E" w:rsidRPr="0076314E" w:rsidRDefault="0076314E" w:rsidP="0076314E">
      <w:pPr>
        <w:pStyle w:val="ListParagraph"/>
        <w:jc w:val="both"/>
        <w:rPr>
          <w:rFonts w:ascii="Arial" w:hAnsi="Arial" w:cs="Arial"/>
        </w:rPr>
      </w:pPr>
    </w:p>
    <w:p w:rsidR="00497C5A" w:rsidRPr="00FB7008" w:rsidRDefault="00497C5A" w:rsidP="00497C5A">
      <w:pPr>
        <w:pStyle w:val="ListParagraph"/>
        <w:numPr>
          <w:ilvl w:val="0"/>
          <w:numId w:val="9"/>
        </w:numPr>
        <w:jc w:val="both"/>
        <w:rPr>
          <w:rFonts w:ascii="Arial" w:hAnsi="Arial" w:cs="Arial"/>
          <w:b/>
        </w:rPr>
      </w:pPr>
      <w:r>
        <w:rPr>
          <w:rFonts w:ascii="Arial" w:hAnsi="Arial" w:cs="Arial"/>
          <w:b/>
        </w:rPr>
        <w:t xml:space="preserve">Swindon CAMHS T3 4 Week Waiting Times – </w:t>
      </w:r>
      <w:r>
        <w:rPr>
          <w:rFonts w:ascii="Arial" w:hAnsi="Arial" w:cs="Arial"/>
        </w:rPr>
        <w:t>Due to a long term increase in demand, the service has historically not been able to achieve the 4 week waiting time target.  The commissioners have revised the performance targets within the new contract to reflect the increase in demand and the limited investment available.</w:t>
      </w:r>
    </w:p>
    <w:p w:rsidR="00497C5A" w:rsidRPr="00FB7008" w:rsidRDefault="00497C5A" w:rsidP="00497C5A">
      <w:pPr>
        <w:pStyle w:val="ListParagraph"/>
        <w:rPr>
          <w:rFonts w:ascii="Arial" w:hAnsi="Arial" w:cs="Arial"/>
          <w:b/>
        </w:rPr>
      </w:pPr>
    </w:p>
    <w:p w:rsidR="00497C5A" w:rsidRPr="001A7443" w:rsidRDefault="00497C5A" w:rsidP="00497C5A">
      <w:pPr>
        <w:pStyle w:val="ListParagraph"/>
        <w:numPr>
          <w:ilvl w:val="0"/>
          <w:numId w:val="9"/>
        </w:numPr>
        <w:jc w:val="both"/>
        <w:rPr>
          <w:rFonts w:ascii="Arial" w:hAnsi="Arial" w:cs="Arial"/>
          <w:b/>
        </w:rPr>
      </w:pPr>
      <w:r>
        <w:rPr>
          <w:rFonts w:ascii="Arial" w:hAnsi="Arial" w:cs="Arial"/>
          <w:b/>
        </w:rPr>
        <w:t xml:space="preserve">Bath &amp; North East Somerset 4 Week Waiting Times – </w:t>
      </w:r>
      <w:r>
        <w:rPr>
          <w:rFonts w:ascii="Arial" w:hAnsi="Arial" w:cs="Arial"/>
        </w:rPr>
        <w:t xml:space="preserve">Although there was a slight increase in performance </w:t>
      </w:r>
      <w:r w:rsidR="001A1359">
        <w:rPr>
          <w:rFonts w:ascii="Arial" w:hAnsi="Arial" w:cs="Arial"/>
        </w:rPr>
        <w:t>during Q4</w:t>
      </w:r>
      <w:r>
        <w:rPr>
          <w:rFonts w:ascii="Arial" w:hAnsi="Arial" w:cs="Arial"/>
        </w:rPr>
        <w:t>, the service has not been able to consistently achieve the 4 week waiting time target.  Recruitment is currently underway and performance will be monitored closely throughout Q1</w:t>
      </w:r>
      <w:r w:rsidR="001A1359">
        <w:rPr>
          <w:rFonts w:ascii="Arial" w:hAnsi="Arial" w:cs="Arial"/>
        </w:rPr>
        <w:t xml:space="preserve"> 2018</w:t>
      </w:r>
      <w:r>
        <w:rPr>
          <w:rFonts w:ascii="Arial" w:hAnsi="Arial" w:cs="Arial"/>
        </w:rPr>
        <w:t>.</w:t>
      </w:r>
    </w:p>
    <w:p w:rsidR="00497C5A" w:rsidRPr="001A7443" w:rsidRDefault="00497C5A" w:rsidP="00497C5A">
      <w:pPr>
        <w:pStyle w:val="ListParagraph"/>
        <w:rPr>
          <w:rFonts w:ascii="Arial" w:hAnsi="Arial" w:cs="Arial"/>
          <w:b/>
        </w:rPr>
      </w:pPr>
    </w:p>
    <w:p w:rsidR="00497C5A" w:rsidRPr="001A7443" w:rsidRDefault="00497C5A" w:rsidP="00497C5A">
      <w:pPr>
        <w:pStyle w:val="ListParagraph"/>
        <w:numPr>
          <w:ilvl w:val="0"/>
          <w:numId w:val="9"/>
        </w:numPr>
        <w:jc w:val="both"/>
        <w:rPr>
          <w:rFonts w:ascii="Arial" w:hAnsi="Arial" w:cs="Arial"/>
        </w:rPr>
      </w:pPr>
      <w:r w:rsidRPr="001A7443">
        <w:rPr>
          <w:rFonts w:ascii="Arial" w:hAnsi="Arial" w:cs="Arial"/>
          <w:b/>
        </w:rPr>
        <w:t xml:space="preserve">CAMHS </w:t>
      </w:r>
      <w:r>
        <w:rPr>
          <w:rFonts w:ascii="Arial" w:hAnsi="Arial" w:cs="Arial"/>
          <w:b/>
        </w:rPr>
        <w:t xml:space="preserve">T2 </w:t>
      </w:r>
      <w:r w:rsidRPr="001A7443">
        <w:rPr>
          <w:rFonts w:ascii="Arial" w:hAnsi="Arial" w:cs="Arial"/>
          <w:b/>
        </w:rPr>
        <w:t xml:space="preserve">4 Week waiting times </w:t>
      </w:r>
      <w:r>
        <w:rPr>
          <w:rFonts w:ascii="Arial" w:hAnsi="Arial" w:cs="Arial"/>
        </w:rPr>
        <w:t>– I</w:t>
      </w:r>
      <w:r w:rsidRPr="001A7443">
        <w:rPr>
          <w:rFonts w:ascii="Arial" w:hAnsi="Arial" w:cs="Arial"/>
        </w:rPr>
        <w:t xml:space="preserve">n particular in Swindon, Wiltshire and Bath &amp; North East Somerset (BaNES) (T2).   Work is underway to </w:t>
      </w:r>
      <w:r w:rsidR="001A1359">
        <w:rPr>
          <w:rFonts w:ascii="Arial" w:hAnsi="Arial" w:cs="Arial"/>
        </w:rPr>
        <w:t>embed</w:t>
      </w:r>
      <w:r w:rsidRPr="001A7443">
        <w:rPr>
          <w:rFonts w:ascii="Arial" w:hAnsi="Arial" w:cs="Arial"/>
        </w:rPr>
        <w:t xml:space="preserve"> the new service delivery models and to resolve the current workforce issues.  </w:t>
      </w:r>
      <w:r w:rsidR="001A1359">
        <w:rPr>
          <w:rFonts w:ascii="Arial" w:hAnsi="Arial" w:cs="Arial"/>
        </w:rPr>
        <w:t>The Trust is expected to see an</w:t>
      </w:r>
      <w:r w:rsidRPr="001A7443">
        <w:rPr>
          <w:rFonts w:ascii="Arial" w:hAnsi="Arial" w:cs="Arial"/>
        </w:rPr>
        <w:t xml:space="preserve"> improvement in performance in Q2 2018.</w:t>
      </w:r>
    </w:p>
    <w:p w:rsidR="005D20D4" w:rsidRPr="005C2C6E" w:rsidRDefault="005D20D4" w:rsidP="00497C5A">
      <w:pPr>
        <w:pStyle w:val="ListParagraph"/>
        <w:jc w:val="both"/>
        <w:rPr>
          <w:rFonts w:ascii="Arial" w:hAnsi="Arial" w:cs="Arial"/>
        </w:rPr>
      </w:pPr>
    </w:p>
    <w:p w:rsidR="009869CE" w:rsidRPr="005C2C6E" w:rsidRDefault="009869CE" w:rsidP="009869CE">
      <w:pPr>
        <w:jc w:val="both"/>
        <w:rPr>
          <w:rFonts w:ascii="Arial" w:hAnsi="Arial" w:cs="Arial"/>
          <w:b/>
        </w:rPr>
      </w:pPr>
      <w:r w:rsidRPr="005C2C6E">
        <w:rPr>
          <w:rFonts w:ascii="Arial" w:hAnsi="Arial" w:cs="Arial"/>
          <w:b/>
        </w:rPr>
        <w:t>Older Peoples</w:t>
      </w:r>
    </w:p>
    <w:p w:rsidR="009869CE" w:rsidRPr="005C2C6E" w:rsidRDefault="009869CE" w:rsidP="009869CE">
      <w:pPr>
        <w:jc w:val="both"/>
        <w:rPr>
          <w:rFonts w:ascii="Arial" w:hAnsi="Arial" w:cs="Arial"/>
        </w:rPr>
      </w:pPr>
    </w:p>
    <w:p w:rsidR="005D20D4" w:rsidRPr="005C2C6E" w:rsidRDefault="005D20D4" w:rsidP="005D20D4">
      <w:pPr>
        <w:jc w:val="both"/>
        <w:rPr>
          <w:rFonts w:ascii="Arial" w:hAnsi="Arial" w:cs="Arial"/>
        </w:rPr>
      </w:pPr>
      <w:r w:rsidRPr="005C2C6E">
        <w:rPr>
          <w:rFonts w:ascii="Arial" w:hAnsi="Arial" w:cs="Arial"/>
        </w:rPr>
        <w:t>In looking at the performance trends and identifying areas where further action is required, the following issues have been highlighted and escalated to the Operations Management Team:</w:t>
      </w:r>
    </w:p>
    <w:p w:rsidR="00F77DD1" w:rsidRPr="005C2C6E" w:rsidRDefault="00F77DD1" w:rsidP="005D20D4">
      <w:pPr>
        <w:jc w:val="both"/>
        <w:rPr>
          <w:rFonts w:ascii="Arial" w:hAnsi="Arial" w:cs="Arial"/>
        </w:rPr>
      </w:pPr>
    </w:p>
    <w:p w:rsidR="00BC37A3" w:rsidRDefault="00BC37A3" w:rsidP="00BC37A3">
      <w:pPr>
        <w:pStyle w:val="ListParagraph"/>
        <w:numPr>
          <w:ilvl w:val="0"/>
          <w:numId w:val="9"/>
        </w:numPr>
        <w:jc w:val="both"/>
        <w:rPr>
          <w:rFonts w:ascii="Arial" w:hAnsi="Arial" w:cs="Arial"/>
          <w:b/>
        </w:rPr>
      </w:pPr>
      <w:r>
        <w:rPr>
          <w:rFonts w:ascii="Arial" w:hAnsi="Arial" w:cs="Arial"/>
          <w:b/>
        </w:rPr>
        <w:t xml:space="preserve">Oxfordshire Continuing Health Care – </w:t>
      </w:r>
      <w:r>
        <w:rPr>
          <w:rFonts w:ascii="Arial" w:hAnsi="Arial" w:cs="Arial"/>
        </w:rPr>
        <w:t xml:space="preserve">There has been a consistent increase in referrals </w:t>
      </w:r>
      <w:r w:rsidR="00766BA2">
        <w:rPr>
          <w:rFonts w:ascii="Arial" w:hAnsi="Arial" w:cs="Arial"/>
        </w:rPr>
        <w:t>during Q3 and Q4</w:t>
      </w:r>
      <w:r>
        <w:rPr>
          <w:rFonts w:ascii="Arial" w:hAnsi="Arial" w:cs="Arial"/>
        </w:rPr>
        <w:t xml:space="preserve"> and the service now receives C190 cases per month but only has the capacity to deliver C160 at present.  The position is also compounded by delays that can happen outside of the </w:t>
      </w:r>
      <w:r>
        <w:rPr>
          <w:rFonts w:ascii="Arial" w:hAnsi="Arial" w:cs="Arial"/>
        </w:rPr>
        <w:lastRenderedPageBreak/>
        <w:t xml:space="preserve">Trusts direct control.  If the trend in referrals continues and the service is unable to achieve the targets set, then a business case will be submitted to the CCG for further investment or the targets negotiated down. </w:t>
      </w:r>
    </w:p>
    <w:p w:rsidR="00C57358" w:rsidRDefault="00C57358" w:rsidP="00C57358">
      <w:pPr>
        <w:pStyle w:val="ListParagraph"/>
        <w:jc w:val="both"/>
        <w:rPr>
          <w:rFonts w:ascii="Arial" w:hAnsi="Arial" w:cs="Arial"/>
          <w:b/>
        </w:rPr>
      </w:pPr>
    </w:p>
    <w:p w:rsidR="00C57358" w:rsidRPr="0089208D" w:rsidRDefault="00C57358" w:rsidP="00C57358">
      <w:pPr>
        <w:pStyle w:val="ListParagraph"/>
        <w:numPr>
          <w:ilvl w:val="0"/>
          <w:numId w:val="9"/>
        </w:numPr>
        <w:jc w:val="both"/>
        <w:rPr>
          <w:rFonts w:ascii="Arial" w:hAnsi="Arial" w:cs="Arial"/>
          <w:b/>
        </w:rPr>
      </w:pPr>
      <w:r>
        <w:rPr>
          <w:rFonts w:ascii="Arial" w:hAnsi="Arial" w:cs="Arial"/>
          <w:b/>
        </w:rPr>
        <w:t>T</w:t>
      </w:r>
      <w:r w:rsidRPr="00D765AE">
        <w:rPr>
          <w:rFonts w:ascii="Arial" w:hAnsi="Arial" w:cs="Arial"/>
          <w:b/>
        </w:rPr>
        <w:t>he Out of Hours</w:t>
      </w:r>
      <w:r>
        <w:rPr>
          <w:rFonts w:ascii="Arial" w:hAnsi="Arial" w:cs="Arial"/>
          <w:b/>
        </w:rPr>
        <w:t xml:space="preserve"> (OOH)</w:t>
      </w:r>
      <w:r w:rsidRPr="00D765AE">
        <w:rPr>
          <w:rFonts w:ascii="Arial" w:hAnsi="Arial" w:cs="Arial"/>
          <w:b/>
        </w:rPr>
        <w:t xml:space="preserve"> Services</w:t>
      </w:r>
      <w:r w:rsidRPr="00D765AE">
        <w:rPr>
          <w:rFonts w:ascii="Arial" w:hAnsi="Arial" w:cs="Arial"/>
        </w:rPr>
        <w:t xml:space="preserve">.  </w:t>
      </w:r>
      <w:r w:rsidR="00175125">
        <w:rPr>
          <w:rFonts w:ascii="Arial" w:hAnsi="Arial" w:cs="Arial"/>
        </w:rPr>
        <w:t>Although the OOH services continued to be under pressure throughout Q4, performance has improved</w:t>
      </w:r>
      <w:r>
        <w:rPr>
          <w:rFonts w:ascii="Arial" w:hAnsi="Arial" w:cs="Arial"/>
        </w:rPr>
        <w:t>.</w:t>
      </w:r>
      <w:r w:rsidR="00175125">
        <w:rPr>
          <w:rFonts w:ascii="Arial" w:hAnsi="Arial" w:cs="Arial"/>
        </w:rPr>
        <w:t xml:space="preserve">  The two indicators that remained below target at the end of Q4 were urgent triage (walk in) and urgent face to face base visit.  </w:t>
      </w:r>
      <w:r w:rsidRPr="0089208D">
        <w:rPr>
          <w:rFonts w:ascii="Arial" w:hAnsi="Arial" w:cs="Arial"/>
        </w:rPr>
        <w:t xml:space="preserve">The </w:t>
      </w:r>
      <w:r>
        <w:rPr>
          <w:rFonts w:ascii="Arial" w:hAnsi="Arial" w:cs="Arial"/>
        </w:rPr>
        <w:t>service continues to</w:t>
      </w:r>
      <w:r w:rsidRPr="0089208D">
        <w:rPr>
          <w:rFonts w:ascii="Arial" w:hAnsi="Arial" w:cs="Arial"/>
        </w:rPr>
        <w:t xml:space="preserve"> ensure </w:t>
      </w:r>
      <w:r>
        <w:rPr>
          <w:rFonts w:ascii="Arial" w:hAnsi="Arial" w:cs="Arial"/>
        </w:rPr>
        <w:t xml:space="preserve">that </w:t>
      </w:r>
      <w:r w:rsidRPr="0089208D">
        <w:rPr>
          <w:rFonts w:ascii="Arial" w:hAnsi="Arial" w:cs="Arial"/>
        </w:rPr>
        <w:t>every patient is safe whilst under OOH care and this is a continual focus for the team</w:t>
      </w:r>
    </w:p>
    <w:p w:rsidR="00C57358" w:rsidRDefault="00C57358" w:rsidP="00C57358">
      <w:pPr>
        <w:pStyle w:val="ListParagraph"/>
        <w:jc w:val="both"/>
        <w:rPr>
          <w:rFonts w:ascii="Arial" w:hAnsi="Arial" w:cs="Arial"/>
          <w:b/>
        </w:rPr>
      </w:pPr>
    </w:p>
    <w:p w:rsidR="00C57358" w:rsidRPr="00050037" w:rsidRDefault="00C57358" w:rsidP="00C57358">
      <w:pPr>
        <w:pStyle w:val="ListParagraph"/>
        <w:numPr>
          <w:ilvl w:val="0"/>
          <w:numId w:val="9"/>
        </w:numPr>
        <w:jc w:val="both"/>
        <w:rPr>
          <w:rFonts w:ascii="Arial" w:hAnsi="Arial" w:cs="Arial"/>
          <w:b/>
        </w:rPr>
      </w:pPr>
      <w:r w:rsidRPr="001604E3">
        <w:rPr>
          <w:rFonts w:ascii="Arial" w:hAnsi="Arial" w:cs="Arial"/>
          <w:b/>
        </w:rPr>
        <w:t xml:space="preserve">Physical Disabilities </w:t>
      </w:r>
      <w:r>
        <w:rPr>
          <w:rFonts w:ascii="Arial" w:hAnsi="Arial" w:cs="Arial"/>
          <w:b/>
        </w:rPr>
        <w:t xml:space="preserve">Physiotherapy </w:t>
      </w:r>
      <w:r w:rsidRPr="001604E3">
        <w:rPr>
          <w:rFonts w:ascii="Arial" w:hAnsi="Arial" w:cs="Arial"/>
          <w:b/>
        </w:rPr>
        <w:t xml:space="preserve">Service.  </w:t>
      </w:r>
      <w:r w:rsidRPr="001604E3">
        <w:rPr>
          <w:rFonts w:ascii="Arial" w:hAnsi="Arial" w:cs="Arial"/>
        </w:rPr>
        <w:t>There has been a consistent increase in referrals to the Physical Disabilities</w:t>
      </w:r>
      <w:r>
        <w:rPr>
          <w:rFonts w:ascii="Arial" w:hAnsi="Arial" w:cs="Arial"/>
        </w:rPr>
        <w:t xml:space="preserve"> Physiotherapy</w:t>
      </w:r>
      <w:r w:rsidRPr="001604E3">
        <w:rPr>
          <w:rFonts w:ascii="Arial" w:hAnsi="Arial" w:cs="Arial"/>
        </w:rPr>
        <w:t xml:space="preserve"> Service (due mainly to Parkinson’s).  </w:t>
      </w:r>
      <w:r>
        <w:rPr>
          <w:rFonts w:ascii="Arial" w:hAnsi="Arial" w:cs="Arial"/>
        </w:rPr>
        <w:t>The Service has reviewed the current delivery model and has taken all steps possible to improve efficiency which has been overseen by the commissioners.</w:t>
      </w:r>
      <w:r>
        <w:rPr>
          <w:rFonts w:ascii="Arial" w:hAnsi="Arial" w:cs="Arial"/>
          <w:b/>
        </w:rPr>
        <w:t xml:space="preserve">  </w:t>
      </w:r>
      <w:r w:rsidR="003437AA">
        <w:rPr>
          <w:rFonts w:ascii="Arial" w:hAnsi="Arial" w:cs="Arial"/>
        </w:rPr>
        <w:t xml:space="preserve">Although a business case for additional investment has been submitted to commissioners, funding has not been agreed as the CCG are now carrying out a broader review of services.  A revised target of 50% (current target 95%) has been </w:t>
      </w:r>
      <w:r w:rsidR="00175125">
        <w:rPr>
          <w:rFonts w:ascii="Arial" w:hAnsi="Arial" w:cs="Arial"/>
        </w:rPr>
        <w:t>proposed by the Trust whilst the CCG consider this position further.</w:t>
      </w:r>
    </w:p>
    <w:p w:rsidR="00C57358" w:rsidRPr="00050037" w:rsidRDefault="00C57358" w:rsidP="00C57358">
      <w:pPr>
        <w:pStyle w:val="ListParagraph"/>
        <w:rPr>
          <w:rFonts w:ascii="Arial" w:hAnsi="Arial" w:cs="Arial"/>
        </w:rPr>
      </w:pPr>
    </w:p>
    <w:p w:rsidR="00130B75" w:rsidRPr="00130B75" w:rsidRDefault="00130B75" w:rsidP="00130B75">
      <w:pPr>
        <w:pStyle w:val="ListParagraph"/>
        <w:numPr>
          <w:ilvl w:val="0"/>
          <w:numId w:val="9"/>
        </w:numPr>
        <w:jc w:val="both"/>
        <w:rPr>
          <w:rFonts w:ascii="Arial" w:hAnsi="Arial" w:cs="Arial"/>
          <w:b/>
        </w:rPr>
      </w:pPr>
      <w:r w:rsidRPr="00130B75">
        <w:rPr>
          <w:rFonts w:ascii="Arial" w:hAnsi="Arial" w:cs="Arial"/>
          <w:b/>
        </w:rPr>
        <w:t>Delayed Transfers of care (DTOC) and Length of Stay (LOS)</w:t>
      </w:r>
      <w:r w:rsidRPr="00130B75">
        <w:rPr>
          <w:rFonts w:ascii="Arial" w:hAnsi="Arial" w:cs="Arial"/>
        </w:rPr>
        <w:t xml:space="preserve"> continue to be an issue across the system.  Although there has been a significant impact due to the delays as a result of the HART service capacity issues, work continues to address the issues that are solely within the remit and control of Trust.  The good performance reported </w:t>
      </w:r>
      <w:r w:rsidR="00FC35E4">
        <w:rPr>
          <w:rFonts w:ascii="Arial" w:hAnsi="Arial" w:cs="Arial"/>
        </w:rPr>
        <w:t>in the last quarter</w:t>
      </w:r>
      <w:r w:rsidRPr="00130B75">
        <w:rPr>
          <w:rFonts w:ascii="Arial" w:hAnsi="Arial" w:cs="Arial"/>
        </w:rPr>
        <w:t xml:space="preserve"> has continued and the position </w:t>
      </w:r>
      <w:r w:rsidR="00FC35E4">
        <w:rPr>
          <w:rFonts w:ascii="Arial" w:hAnsi="Arial" w:cs="Arial"/>
        </w:rPr>
        <w:t>at the end of March</w:t>
      </w:r>
      <w:r w:rsidRPr="00130B75">
        <w:rPr>
          <w:rFonts w:ascii="Arial" w:hAnsi="Arial" w:cs="Arial"/>
        </w:rPr>
        <w:t xml:space="preserve"> was 5</w:t>
      </w:r>
      <w:r w:rsidR="004A5E53">
        <w:rPr>
          <w:rFonts w:ascii="Arial" w:hAnsi="Arial" w:cs="Arial"/>
        </w:rPr>
        <w:t xml:space="preserve"> patients</w:t>
      </w:r>
      <w:r w:rsidRPr="00130B75">
        <w:rPr>
          <w:rFonts w:ascii="Arial" w:hAnsi="Arial" w:cs="Arial"/>
        </w:rPr>
        <w:t>.</w:t>
      </w:r>
    </w:p>
    <w:p w:rsidR="00130B75" w:rsidRPr="00130B75" w:rsidRDefault="00130B75" w:rsidP="00130B75">
      <w:pPr>
        <w:pStyle w:val="ListParagraph"/>
        <w:rPr>
          <w:rFonts w:ascii="Arial" w:hAnsi="Arial" w:cs="Arial"/>
          <w:b/>
        </w:rPr>
      </w:pPr>
    </w:p>
    <w:p w:rsidR="009869CE" w:rsidRPr="00130B75" w:rsidRDefault="009869CE" w:rsidP="00130B75">
      <w:pPr>
        <w:jc w:val="both"/>
        <w:rPr>
          <w:rFonts w:ascii="Arial" w:hAnsi="Arial" w:cs="Arial"/>
          <w:b/>
        </w:rPr>
      </w:pPr>
      <w:r w:rsidRPr="00130B75">
        <w:rPr>
          <w:rFonts w:ascii="Arial" w:hAnsi="Arial" w:cs="Arial"/>
          <w:b/>
        </w:rPr>
        <w:t>Adults:</w:t>
      </w:r>
    </w:p>
    <w:p w:rsidR="009869CE" w:rsidRPr="005C2C6E" w:rsidRDefault="009869CE" w:rsidP="009869CE">
      <w:pPr>
        <w:jc w:val="both"/>
        <w:rPr>
          <w:rFonts w:ascii="Arial" w:hAnsi="Arial" w:cs="Arial"/>
          <w:b/>
        </w:rPr>
      </w:pPr>
    </w:p>
    <w:p w:rsidR="005D20D4" w:rsidRPr="005C2C6E" w:rsidRDefault="005D20D4" w:rsidP="005D20D4">
      <w:pPr>
        <w:jc w:val="both"/>
        <w:rPr>
          <w:rFonts w:ascii="Arial" w:hAnsi="Arial" w:cs="Arial"/>
        </w:rPr>
      </w:pPr>
      <w:r w:rsidRPr="005C2C6E">
        <w:rPr>
          <w:rFonts w:ascii="Arial" w:hAnsi="Arial" w:cs="Arial"/>
        </w:rPr>
        <w:t xml:space="preserve">In looking at the performance trends and identifying areas where further action is required in the Adults Directorate, the following issues have been </w:t>
      </w:r>
      <w:r w:rsidR="00A863D2">
        <w:rPr>
          <w:rFonts w:ascii="Arial" w:hAnsi="Arial" w:cs="Arial"/>
        </w:rPr>
        <w:t>reported to the Operations Management Team and the Board of Directors.</w:t>
      </w:r>
    </w:p>
    <w:p w:rsidR="00C57358" w:rsidRPr="00732301" w:rsidRDefault="00C57358" w:rsidP="00C57358">
      <w:pPr>
        <w:pStyle w:val="ListParagraph"/>
        <w:rPr>
          <w:rFonts w:ascii="Arial" w:hAnsi="Arial" w:cs="Arial"/>
        </w:rPr>
      </w:pPr>
    </w:p>
    <w:p w:rsidR="001D6C0B" w:rsidRPr="001D6C0B" w:rsidRDefault="00C57358" w:rsidP="007430A3">
      <w:pPr>
        <w:pStyle w:val="ListParagraph"/>
        <w:numPr>
          <w:ilvl w:val="0"/>
          <w:numId w:val="9"/>
        </w:numPr>
        <w:jc w:val="both"/>
        <w:rPr>
          <w:rFonts w:ascii="Arial" w:hAnsi="Arial" w:cs="Arial"/>
        </w:rPr>
      </w:pPr>
      <w:r w:rsidRPr="001D6C0B">
        <w:rPr>
          <w:rFonts w:ascii="Arial" w:hAnsi="Arial" w:cs="Arial"/>
          <w:b/>
        </w:rPr>
        <w:t>Improving Access to Psychological Therapies (IAPT)</w:t>
      </w:r>
      <w:r w:rsidRPr="001D6C0B">
        <w:rPr>
          <w:rFonts w:ascii="Arial" w:hAnsi="Arial" w:cs="Arial"/>
        </w:rPr>
        <w:t xml:space="preserve"> </w:t>
      </w:r>
      <w:r w:rsidR="001D6C0B" w:rsidRPr="001D6C0B">
        <w:rPr>
          <w:rFonts w:ascii="Arial" w:hAnsi="Arial" w:cs="Arial"/>
        </w:rPr>
        <w:t xml:space="preserve">– Although the 8 waiting time targets for Cognitive </w:t>
      </w:r>
      <w:proofErr w:type="spellStart"/>
      <w:r w:rsidR="001D6C0B" w:rsidRPr="001D6C0B">
        <w:rPr>
          <w:rFonts w:ascii="Arial" w:hAnsi="Arial" w:cs="Arial"/>
        </w:rPr>
        <w:t>Behaviour</w:t>
      </w:r>
      <w:proofErr w:type="spellEnd"/>
      <w:r w:rsidR="001D6C0B" w:rsidRPr="001D6C0B">
        <w:rPr>
          <w:rFonts w:ascii="Arial" w:hAnsi="Arial" w:cs="Arial"/>
        </w:rPr>
        <w:t xml:space="preserve"> Therapy (CBT) and Counselling </w:t>
      </w:r>
      <w:r w:rsidR="001D6C0B">
        <w:rPr>
          <w:rFonts w:ascii="Arial" w:hAnsi="Arial" w:cs="Arial"/>
        </w:rPr>
        <w:t xml:space="preserve">in Oxfordshire </w:t>
      </w:r>
      <w:r w:rsidR="001D6C0B" w:rsidRPr="001D6C0B">
        <w:rPr>
          <w:rFonts w:ascii="Arial" w:hAnsi="Arial" w:cs="Arial"/>
        </w:rPr>
        <w:t>have not yet been achieved, there has been a significant reduction in waiting times from the position reported in Q3</w:t>
      </w:r>
      <w:r w:rsidR="001D6C0B">
        <w:rPr>
          <w:rFonts w:ascii="Arial" w:hAnsi="Arial" w:cs="Arial"/>
        </w:rPr>
        <w:t xml:space="preserve"> (19 weeks to C11 weeks)</w:t>
      </w:r>
      <w:r w:rsidR="001D6C0B" w:rsidRPr="001D6C0B">
        <w:rPr>
          <w:rFonts w:ascii="Arial" w:hAnsi="Arial" w:cs="Arial"/>
        </w:rPr>
        <w:t xml:space="preserve">.  </w:t>
      </w:r>
      <w:r w:rsidR="001D6C0B">
        <w:rPr>
          <w:rFonts w:ascii="Arial" w:hAnsi="Arial" w:cs="Arial"/>
        </w:rPr>
        <w:t xml:space="preserve">As part of a plan to expand the capacity of the IAPT services, additional staff have been recruited, however, a shortage of suitable accommodation is now the main issue affecting the Trust’s ability to achieve the </w:t>
      </w:r>
      <w:proofErr w:type="gramStart"/>
      <w:r w:rsidR="001D6C0B">
        <w:rPr>
          <w:rFonts w:ascii="Arial" w:hAnsi="Arial" w:cs="Arial"/>
        </w:rPr>
        <w:t>8 week</w:t>
      </w:r>
      <w:proofErr w:type="gramEnd"/>
      <w:r w:rsidR="001D6C0B">
        <w:rPr>
          <w:rFonts w:ascii="Arial" w:hAnsi="Arial" w:cs="Arial"/>
        </w:rPr>
        <w:t xml:space="preserve"> </w:t>
      </w:r>
      <w:r w:rsidR="004900E9">
        <w:rPr>
          <w:rFonts w:ascii="Arial" w:hAnsi="Arial" w:cs="Arial"/>
        </w:rPr>
        <w:t>target.  The Service is working with commissioners and partners to resolve this issue</w:t>
      </w:r>
      <w:r w:rsidR="00A863D2">
        <w:rPr>
          <w:rFonts w:ascii="Arial" w:hAnsi="Arial" w:cs="Arial"/>
        </w:rPr>
        <w:t xml:space="preserve">.  A </w:t>
      </w:r>
      <w:r w:rsidR="004900E9">
        <w:rPr>
          <w:rFonts w:ascii="Arial" w:hAnsi="Arial" w:cs="Arial"/>
        </w:rPr>
        <w:t>temporary increase in the waiting time target may be appropriate</w:t>
      </w:r>
      <w:r w:rsidR="00A863D2">
        <w:rPr>
          <w:rFonts w:ascii="Arial" w:hAnsi="Arial" w:cs="Arial"/>
        </w:rPr>
        <w:t xml:space="preserve"> given that this issue is beyond the Services control</w:t>
      </w:r>
      <w:r w:rsidR="004900E9">
        <w:rPr>
          <w:rFonts w:ascii="Arial" w:hAnsi="Arial" w:cs="Arial"/>
        </w:rPr>
        <w:t>.</w:t>
      </w:r>
    </w:p>
    <w:p w:rsidR="001D6C0B" w:rsidRDefault="001D6C0B" w:rsidP="001D6C0B">
      <w:pPr>
        <w:pStyle w:val="ListParagraph"/>
        <w:jc w:val="both"/>
        <w:rPr>
          <w:rFonts w:ascii="Arial" w:hAnsi="Arial" w:cs="Arial"/>
        </w:rPr>
      </w:pPr>
    </w:p>
    <w:p w:rsidR="00D227FC" w:rsidRPr="00D227FC" w:rsidRDefault="00C57358" w:rsidP="00D227FC">
      <w:pPr>
        <w:pStyle w:val="ListParagraph"/>
        <w:numPr>
          <w:ilvl w:val="0"/>
          <w:numId w:val="9"/>
        </w:numPr>
        <w:jc w:val="both"/>
        <w:rPr>
          <w:rFonts w:ascii="Arial" w:hAnsi="Arial" w:cs="Arial"/>
        </w:rPr>
      </w:pPr>
      <w:r w:rsidRPr="00D227FC">
        <w:rPr>
          <w:rFonts w:ascii="Arial" w:hAnsi="Arial" w:cs="Arial"/>
          <w:b/>
        </w:rPr>
        <w:t>Cluster Reviews</w:t>
      </w:r>
      <w:r w:rsidRPr="00D227FC">
        <w:rPr>
          <w:rFonts w:ascii="Arial" w:hAnsi="Arial" w:cs="Arial"/>
        </w:rPr>
        <w:t xml:space="preserve"> – The cluster reviews indicator in Oxfordshire continues to be below target.  </w:t>
      </w:r>
      <w:r w:rsidR="00D227FC" w:rsidRPr="00D227FC">
        <w:rPr>
          <w:rFonts w:ascii="Arial" w:hAnsi="Arial" w:cs="Arial"/>
        </w:rPr>
        <w:t xml:space="preserve">Service managers are working with teams reviewing the patient level detail to ensure cluster reviews are occurring on time. </w:t>
      </w:r>
    </w:p>
    <w:p w:rsidR="00C57358" w:rsidRDefault="00D227FC" w:rsidP="007E5EEF">
      <w:pPr>
        <w:pStyle w:val="ListParagraph"/>
        <w:jc w:val="both"/>
        <w:rPr>
          <w:rFonts w:ascii="Arial" w:hAnsi="Arial" w:cs="Arial"/>
        </w:rPr>
      </w:pPr>
      <w:r w:rsidRPr="00D227FC">
        <w:rPr>
          <w:rFonts w:ascii="Arial" w:hAnsi="Arial" w:cs="Arial"/>
        </w:rPr>
        <w:lastRenderedPageBreak/>
        <w:t>The performance and B</w:t>
      </w:r>
      <w:r>
        <w:rPr>
          <w:rFonts w:ascii="Arial" w:hAnsi="Arial" w:cs="Arial"/>
        </w:rPr>
        <w:t>usiness Intelligence (BI)</w:t>
      </w:r>
      <w:r w:rsidRPr="00D227FC">
        <w:rPr>
          <w:rFonts w:ascii="Arial" w:hAnsi="Arial" w:cs="Arial"/>
        </w:rPr>
        <w:t xml:space="preserve"> teams are working together to produce a list of where there are gaps in cluster reviews for patients. initial investigations have highlighted issues with the reports underlying the data. It is estimated that is will take a further 3 months to resolve</w:t>
      </w:r>
      <w:r>
        <w:rPr>
          <w:rFonts w:ascii="Arial" w:hAnsi="Arial" w:cs="Arial"/>
        </w:rPr>
        <w:t>.</w:t>
      </w:r>
    </w:p>
    <w:p w:rsidR="00D227FC" w:rsidRPr="00D227FC" w:rsidRDefault="00D227FC" w:rsidP="00D227FC">
      <w:pPr>
        <w:pStyle w:val="ListParagraph"/>
        <w:jc w:val="both"/>
        <w:rPr>
          <w:rFonts w:ascii="Arial" w:hAnsi="Arial" w:cs="Arial"/>
        </w:rPr>
      </w:pPr>
    </w:p>
    <w:p w:rsidR="002432A2" w:rsidRPr="001C1254" w:rsidRDefault="00C57358" w:rsidP="001C1254">
      <w:pPr>
        <w:pStyle w:val="ListParagraph"/>
        <w:numPr>
          <w:ilvl w:val="0"/>
          <w:numId w:val="9"/>
        </w:numPr>
        <w:jc w:val="both"/>
        <w:rPr>
          <w:rFonts w:ascii="Arial" w:hAnsi="Arial" w:cs="Arial"/>
        </w:rPr>
      </w:pPr>
      <w:r w:rsidRPr="001C1254">
        <w:rPr>
          <w:rFonts w:ascii="Arial" w:hAnsi="Arial" w:cs="Arial"/>
          <w:b/>
        </w:rPr>
        <w:t>Care Reviews</w:t>
      </w:r>
      <w:r w:rsidRPr="001C1254">
        <w:rPr>
          <w:rFonts w:ascii="Arial" w:hAnsi="Arial" w:cs="Arial"/>
        </w:rPr>
        <w:t xml:space="preserve"> - Analysis of the performance data has shown that timescales for care reviews </w:t>
      </w:r>
      <w:r w:rsidR="00473055">
        <w:rPr>
          <w:rFonts w:ascii="Arial" w:hAnsi="Arial" w:cs="Arial"/>
        </w:rPr>
        <w:t>in Buckinghamshire</w:t>
      </w:r>
      <w:r w:rsidRPr="001C1254">
        <w:rPr>
          <w:rFonts w:ascii="Arial" w:hAnsi="Arial" w:cs="Arial"/>
        </w:rPr>
        <w:t xml:space="preserve"> continue to be below target</w:t>
      </w:r>
      <w:r w:rsidR="00D227FC" w:rsidRPr="001C1254">
        <w:rPr>
          <w:rFonts w:ascii="Arial" w:hAnsi="Arial" w:cs="Arial"/>
        </w:rPr>
        <w:t xml:space="preserve">, however, </w:t>
      </w:r>
      <w:r w:rsidR="001C1254" w:rsidRPr="001C1254">
        <w:rPr>
          <w:rFonts w:ascii="Arial" w:hAnsi="Arial" w:cs="Arial"/>
        </w:rPr>
        <w:t>performance</w:t>
      </w:r>
      <w:r w:rsidR="00473055">
        <w:rPr>
          <w:rFonts w:ascii="Arial" w:hAnsi="Arial" w:cs="Arial"/>
        </w:rPr>
        <w:t xml:space="preserve"> in Aylesbury</w:t>
      </w:r>
      <w:r w:rsidR="001C1254" w:rsidRPr="001C1254">
        <w:rPr>
          <w:rFonts w:ascii="Arial" w:hAnsi="Arial" w:cs="Arial"/>
        </w:rPr>
        <w:t xml:space="preserve"> is on an upward trajectory with </w:t>
      </w:r>
      <w:r w:rsidR="00D227FC" w:rsidRPr="001C1254">
        <w:rPr>
          <w:rFonts w:ascii="Arial" w:hAnsi="Arial" w:cs="Arial"/>
        </w:rPr>
        <w:t xml:space="preserve">56% of </w:t>
      </w:r>
      <w:r w:rsidR="001C1254" w:rsidRPr="001C1254">
        <w:rPr>
          <w:rFonts w:ascii="Arial" w:hAnsi="Arial" w:cs="Arial"/>
        </w:rPr>
        <w:t>people having a care review in time at the end of Q4 compared to 41% at the end of Q3</w:t>
      </w:r>
      <w:r w:rsidRPr="001C1254">
        <w:rPr>
          <w:rFonts w:ascii="Arial" w:hAnsi="Arial" w:cs="Arial"/>
        </w:rPr>
        <w:t xml:space="preserve">.  </w:t>
      </w:r>
      <w:r w:rsidR="001C1254" w:rsidRPr="001C1254">
        <w:rPr>
          <w:rFonts w:ascii="Arial" w:hAnsi="Arial" w:cs="Arial"/>
        </w:rPr>
        <w:t>During the next reporting period the service manager</w:t>
      </w:r>
      <w:r w:rsidR="00473055">
        <w:rPr>
          <w:rFonts w:ascii="Arial" w:hAnsi="Arial" w:cs="Arial"/>
        </w:rPr>
        <w:t>s</w:t>
      </w:r>
      <w:r w:rsidR="001C1254" w:rsidRPr="001C1254">
        <w:rPr>
          <w:rFonts w:ascii="Arial" w:hAnsi="Arial" w:cs="Arial"/>
        </w:rPr>
        <w:t xml:space="preserve"> will continue to meet with the leadership team to ensure improvements to this target can be made whilst delivering a quality service.</w:t>
      </w:r>
    </w:p>
    <w:p w:rsidR="002432A2" w:rsidRPr="007003DD" w:rsidRDefault="002432A2" w:rsidP="00C57358">
      <w:pPr>
        <w:pStyle w:val="ListParagraph"/>
        <w:rPr>
          <w:rFonts w:ascii="Arial" w:hAnsi="Arial" w:cs="Arial"/>
        </w:rPr>
      </w:pPr>
    </w:p>
    <w:p w:rsidR="00FA3993" w:rsidRPr="001C1254" w:rsidRDefault="00FA3993" w:rsidP="007A2CF0">
      <w:pPr>
        <w:jc w:val="both"/>
        <w:rPr>
          <w:rFonts w:ascii="Arial" w:hAnsi="Arial" w:cs="Arial"/>
          <w:b/>
        </w:rPr>
      </w:pPr>
      <w:r w:rsidRPr="001C1254">
        <w:rPr>
          <w:rFonts w:ascii="Arial" w:hAnsi="Arial" w:cs="Arial"/>
          <w:b/>
        </w:rPr>
        <w:t>Governance Route/Approval Process</w:t>
      </w:r>
    </w:p>
    <w:p w:rsidR="005D3499" w:rsidRPr="001C1254" w:rsidRDefault="00F715FD" w:rsidP="00F715FD">
      <w:pPr>
        <w:jc w:val="both"/>
        <w:rPr>
          <w:rFonts w:ascii="Arial" w:hAnsi="Arial" w:cs="Arial"/>
        </w:rPr>
      </w:pPr>
      <w:r w:rsidRPr="001C1254">
        <w:rPr>
          <w:rFonts w:ascii="Arial" w:hAnsi="Arial" w:cs="Arial"/>
        </w:rPr>
        <w:t xml:space="preserve">This is a </w:t>
      </w:r>
      <w:r w:rsidR="007A2CF0" w:rsidRPr="001C1254">
        <w:rPr>
          <w:rFonts w:ascii="Arial" w:hAnsi="Arial" w:cs="Arial"/>
        </w:rPr>
        <w:t xml:space="preserve">quarterly update </w:t>
      </w:r>
      <w:r w:rsidRPr="001C1254">
        <w:rPr>
          <w:rFonts w:ascii="Arial" w:hAnsi="Arial" w:cs="Arial"/>
        </w:rPr>
        <w:t>report</w:t>
      </w:r>
      <w:r w:rsidR="007A2CF0" w:rsidRPr="001C1254">
        <w:rPr>
          <w:rFonts w:ascii="Arial" w:hAnsi="Arial" w:cs="Arial"/>
        </w:rPr>
        <w:t xml:space="preserve">.  </w:t>
      </w:r>
    </w:p>
    <w:p w:rsidR="00F715FD" w:rsidRPr="001C1254" w:rsidRDefault="00F715FD" w:rsidP="00F715FD">
      <w:pPr>
        <w:jc w:val="both"/>
        <w:rPr>
          <w:rFonts w:ascii="Arial" w:hAnsi="Arial" w:cs="Arial"/>
        </w:rPr>
      </w:pPr>
    </w:p>
    <w:p w:rsidR="0073522A" w:rsidRPr="001C1254" w:rsidRDefault="0073522A" w:rsidP="0073522A">
      <w:pPr>
        <w:jc w:val="both"/>
        <w:rPr>
          <w:rFonts w:ascii="Arial" w:hAnsi="Arial" w:cs="Arial"/>
          <w:b/>
        </w:rPr>
      </w:pPr>
      <w:r w:rsidRPr="001C1254">
        <w:rPr>
          <w:rFonts w:ascii="Arial" w:hAnsi="Arial" w:cs="Arial"/>
          <w:b/>
        </w:rPr>
        <w:t>Recommendation</w:t>
      </w:r>
    </w:p>
    <w:p w:rsidR="000A5A07" w:rsidRPr="001C1254" w:rsidRDefault="000A5A07" w:rsidP="0073522A">
      <w:pPr>
        <w:jc w:val="both"/>
        <w:rPr>
          <w:rFonts w:ascii="Arial" w:hAnsi="Arial" w:cs="Arial"/>
        </w:rPr>
      </w:pPr>
      <w:r w:rsidRPr="001C1254">
        <w:rPr>
          <w:rFonts w:ascii="Arial" w:hAnsi="Arial" w:cs="Arial"/>
        </w:rPr>
        <w:t xml:space="preserve">The </w:t>
      </w:r>
      <w:r w:rsidR="00342219" w:rsidRPr="001C1254">
        <w:rPr>
          <w:rFonts w:ascii="Arial" w:hAnsi="Arial" w:cs="Arial"/>
        </w:rPr>
        <w:t>Council of Governors is invited</w:t>
      </w:r>
      <w:r w:rsidR="00F715FD" w:rsidRPr="001C1254">
        <w:rPr>
          <w:rFonts w:ascii="Arial" w:hAnsi="Arial" w:cs="Arial"/>
        </w:rPr>
        <w:t xml:space="preserve"> to </w:t>
      </w:r>
      <w:r w:rsidRPr="001C1254">
        <w:rPr>
          <w:rFonts w:ascii="Arial" w:hAnsi="Arial" w:cs="Arial"/>
        </w:rPr>
        <w:t xml:space="preserve">note the report.  </w:t>
      </w:r>
    </w:p>
    <w:p w:rsidR="002432A2" w:rsidRPr="001C1254" w:rsidRDefault="002432A2" w:rsidP="00F715FD">
      <w:pPr>
        <w:ind w:left="1440" w:hanging="1440"/>
        <w:jc w:val="both"/>
        <w:rPr>
          <w:rFonts w:ascii="Arial" w:hAnsi="Arial" w:cs="Arial"/>
        </w:rPr>
      </w:pPr>
    </w:p>
    <w:p w:rsidR="002432A2" w:rsidRDefault="002432A2" w:rsidP="00F715FD">
      <w:pPr>
        <w:ind w:left="1440" w:hanging="1440"/>
        <w:jc w:val="both"/>
        <w:rPr>
          <w:rFonts w:ascii="Segoe UI" w:hAnsi="Segoe UI" w:cs="Segoe UI"/>
          <w:b/>
        </w:rPr>
      </w:pPr>
    </w:p>
    <w:p w:rsidR="00F715FD" w:rsidRPr="001C1254" w:rsidRDefault="002619EF" w:rsidP="00F715FD">
      <w:pPr>
        <w:ind w:left="1440" w:hanging="1440"/>
        <w:jc w:val="both"/>
        <w:rPr>
          <w:rFonts w:ascii="Arial" w:hAnsi="Arial" w:cs="Arial"/>
        </w:rPr>
      </w:pPr>
      <w:r w:rsidRPr="001C1254">
        <w:rPr>
          <w:rFonts w:ascii="Arial" w:hAnsi="Arial" w:cs="Arial"/>
          <w:b/>
        </w:rPr>
        <w:t>Author and T</w:t>
      </w:r>
      <w:r w:rsidR="0073522A" w:rsidRPr="001C1254">
        <w:rPr>
          <w:rFonts w:ascii="Arial" w:hAnsi="Arial" w:cs="Arial"/>
          <w:b/>
        </w:rPr>
        <w:t>itle:</w:t>
      </w:r>
      <w:r w:rsidR="007B02FB" w:rsidRPr="001C1254">
        <w:rPr>
          <w:rFonts w:ascii="Arial" w:hAnsi="Arial" w:cs="Arial"/>
          <w:b/>
        </w:rPr>
        <w:t xml:space="preserve"> </w:t>
      </w:r>
      <w:r w:rsidR="006B6902" w:rsidRPr="001C1254">
        <w:rPr>
          <w:rFonts w:ascii="Arial" w:hAnsi="Arial" w:cs="Arial"/>
        </w:rPr>
        <w:t>Claire Page</w:t>
      </w:r>
      <w:r w:rsidR="0022259D" w:rsidRPr="001C1254">
        <w:rPr>
          <w:rFonts w:ascii="Arial" w:hAnsi="Arial" w:cs="Arial"/>
        </w:rPr>
        <w:t xml:space="preserve">, </w:t>
      </w:r>
      <w:r w:rsidR="006B6902" w:rsidRPr="001C1254">
        <w:rPr>
          <w:rFonts w:ascii="Arial" w:hAnsi="Arial" w:cs="Arial"/>
        </w:rPr>
        <w:t>Head of Performance and Information</w:t>
      </w:r>
      <w:r w:rsidR="0022259D" w:rsidRPr="001C1254">
        <w:rPr>
          <w:rFonts w:ascii="Arial" w:hAnsi="Arial" w:cs="Arial"/>
        </w:rPr>
        <w:t xml:space="preserve"> </w:t>
      </w:r>
    </w:p>
    <w:p w:rsidR="00F715FD" w:rsidRPr="001C1254" w:rsidRDefault="0073522A" w:rsidP="00FA3993">
      <w:pPr>
        <w:jc w:val="both"/>
        <w:rPr>
          <w:rFonts w:ascii="Arial" w:hAnsi="Arial" w:cs="Arial"/>
        </w:rPr>
      </w:pPr>
      <w:r w:rsidRPr="001C1254">
        <w:rPr>
          <w:rFonts w:ascii="Arial" w:hAnsi="Arial" w:cs="Arial"/>
          <w:b/>
        </w:rPr>
        <w:t>Lead Executive Director:</w:t>
      </w:r>
      <w:r w:rsidR="00F715FD" w:rsidRPr="001C1254">
        <w:rPr>
          <w:rFonts w:ascii="Arial" w:hAnsi="Arial" w:cs="Arial"/>
          <w:b/>
        </w:rPr>
        <w:t xml:space="preserve"> </w:t>
      </w:r>
      <w:r w:rsidR="00C57358" w:rsidRPr="001C1254">
        <w:rPr>
          <w:rFonts w:ascii="Arial" w:hAnsi="Arial" w:cs="Arial"/>
        </w:rPr>
        <w:t>Martyn Ward, Director of Strategy &amp; Performance </w:t>
      </w:r>
    </w:p>
    <w:p w:rsidR="004B24B2" w:rsidRPr="00C57358" w:rsidRDefault="004B24B2" w:rsidP="00FA3993">
      <w:pPr>
        <w:jc w:val="both"/>
        <w:rPr>
          <w:rFonts w:ascii="Arial" w:hAnsi="Arial" w:cs="Arial"/>
        </w:rPr>
      </w:pPr>
    </w:p>
    <w:p w:rsidR="004B24B2" w:rsidRPr="005C2C6E" w:rsidRDefault="004B24B2">
      <w:pPr>
        <w:rPr>
          <w:rFonts w:ascii="Segoe UI" w:hAnsi="Segoe UI" w:cs="Segoe UI"/>
        </w:rPr>
        <w:sectPr w:rsidR="004B24B2" w:rsidRPr="005C2C6E" w:rsidSect="00D227FC">
          <w:headerReference w:type="first" r:id="rId11"/>
          <w:pgSz w:w="12240" w:h="15840" w:code="1"/>
          <w:pgMar w:top="1440" w:right="1797" w:bottom="851" w:left="1797" w:header="709" w:footer="709" w:gutter="0"/>
          <w:cols w:space="708"/>
          <w:titlePg/>
          <w:docGrid w:linePitch="360"/>
        </w:sectPr>
      </w:pPr>
    </w:p>
    <w:p w:rsidR="00F2180B" w:rsidRPr="005C2C6E" w:rsidRDefault="00F2180B">
      <w:pPr>
        <w:rPr>
          <w:rFonts w:ascii="Segoe UI" w:hAnsi="Segoe UI" w:cs="Segoe UI"/>
          <w:b/>
        </w:rPr>
      </w:pPr>
      <w:r w:rsidRPr="005C2C6E">
        <w:rPr>
          <w:rFonts w:ascii="Segoe UI" w:hAnsi="Segoe UI" w:cs="Segoe UI"/>
          <w:b/>
        </w:rPr>
        <w:lastRenderedPageBreak/>
        <w:t>Appendix 1 – Performance Reporting Structure</w:t>
      </w:r>
    </w:p>
    <w:p w:rsidR="00F2180B" w:rsidRPr="005C2C6E" w:rsidRDefault="00F2180B">
      <w:pPr>
        <w:rPr>
          <w:rFonts w:ascii="Segoe UI" w:hAnsi="Segoe UI" w:cs="Segoe UI"/>
          <w:b/>
        </w:rPr>
      </w:pPr>
    </w:p>
    <w:p w:rsidR="00FA3993" w:rsidRPr="0072070D" w:rsidRDefault="00F2180B" w:rsidP="00F2180B">
      <w:pPr>
        <w:jc w:val="center"/>
        <w:rPr>
          <w:rFonts w:ascii="Segoe UI" w:hAnsi="Segoe UI" w:cs="Segoe UI"/>
        </w:rPr>
      </w:pPr>
      <w:r w:rsidRPr="005C2C6E">
        <w:rPr>
          <w:rFonts w:ascii="Segoe UI" w:hAnsi="Segoe UI" w:cs="Segoe UI"/>
          <w:b/>
          <w:noProof/>
          <w:lang w:val="en-GB" w:eastAsia="en-GB"/>
        </w:rPr>
        <w:drawing>
          <wp:inline distT="0" distB="0" distL="0" distR="0" wp14:anchorId="04F7897F" wp14:editId="27627154">
            <wp:extent cx="7210425" cy="49924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Reporting Structure COG.jpg"/>
                    <pic:cNvPicPr/>
                  </pic:nvPicPr>
                  <pic:blipFill>
                    <a:blip r:embed="rId12">
                      <a:extLst>
                        <a:ext uri="{28A0092B-C50C-407E-A947-70E740481C1C}">
                          <a14:useLocalDpi xmlns:a14="http://schemas.microsoft.com/office/drawing/2010/main" val="0"/>
                        </a:ext>
                      </a:extLst>
                    </a:blip>
                    <a:stretch>
                      <a:fillRect/>
                    </a:stretch>
                  </pic:blipFill>
                  <pic:spPr>
                    <a:xfrm>
                      <a:off x="0" y="0"/>
                      <a:ext cx="7218620" cy="4998173"/>
                    </a:xfrm>
                    <a:prstGeom prst="rect">
                      <a:avLst/>
                    </a:prstGeom>
                  </pic:spPr>
                </pic:pic>
              </a:graphicData>
            </a:graphic>
          </wp:inline>
        </w:drawing>
      </w:r>
    </w:p>
    <w:sectPr w:rsidR="00FA3993" w:rsidRPr="0072070D" w:rsidSect="004B24B2">
      <w:pgSz w:w="15840" w:h="12240" w:orient="landscape" w:code="1"/>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A21" w:rsidRDefault="00216A21" w:rsidP="005B3E3C">
      <w:r>
        <w:separator/>
      </w:r>
    </w:p>
  </w:endnote>
  <w:endnote w:type="continuationSeparator" w:id="0">
    <w:p w:rsidR="00216A21" w:rsidRDefault="00216A21"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A21" w:rsidRDefault="00216A21" w:rsidP="005B3E3C">
      <w:r>
        <w:separator/>
      </w:r>
    </w:p>
  </w:footnote>
  <w:footnote w:type="continuationSeparator" w:id="0">
    <w:p w:rsidR="00216A21" w:rsidRDefault="00216A21"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366A2F6A"/>
    <w:multiLevelType w:val="hybridMultilevel"/>
    <w:tmpl w:val="B004042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586A312C"/>
    <w:multiLevelType w:val="hybridMultilevel"/>
    <w:tmpl w:val="FD24E916"/>
    <w:lvl w:ilvl="0" w:tplc="DF3471E6">
      <w:numFmt w:val="bullet"/>
      <w:lvlText w:val=""/>
      <w:lvlJc w:val="left"/>
      <w:pPr>
        <w:ind w:left="720" w:hanging="360"/>
      </w:pPr>
      <w:rPr>
        <w:rFonts w:ascii="Wingdings" w:eastAsia="Times New Roman" w:hAnsi="Wingdings" w:cs="Segoe U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1"/>
  </w:num>
  <w:num w:numId="5">
    <w:abstractNumId w:val="7"/>
  </w:num>
  <w:num w:numId="6">
    <w:abstractNumId w:val="2"/>
  </w:num>
  <w:num w:numId="7">
    <w:abstractNumId w:val="0"/>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4B2B"/>
    <w:rsid w:val="0002155B"/>
    <w:rsid w:val="00025757"/>
    <w:rsid w:val="00030247"/>
    <w:rsid w:val="0004428A"/>
    <w:rsid w:val="00071842"/>
    <w:rsid w:val="00084EB3"/>
    <w:rsid w:val="000A3A29"/>
    <w:rsid w:val="000A5A07"/>
    <w:rsid w:val="000E317C"/>
    <w:rsid w:val="00130B75"/>
    <w:rsid w:val="00140CB9"/>
    <w:rsid w:val="00175125"/>
    <w:rsid w:val="001A1359"/>
    <w:rsid w:val="001C1254"/>
    <w:rsid w:val="001D6C0B"/>
    <w:rsid w:val="001F76ED"/>
    <w:rsid w:val="00216A21"/>
    <w:rsid w:val="0022259D"/>
    <w:rsid w:val="002250DE"/>
    <w:rsid w:val="00227FCE"/>
    <w:rsid w:val="00241A66"/>
    <w:rsid w:val="002432A2"/>
    <w:rsid w:val="00243EF5"/>
    <w:rsid w:val="00260E05"/>
    <w:rsid w:val="002619EF"/>
    <w:rsid w:val="00262F0F"/>
    <w:rsid w:val="0027199E"/>
    <w:rsid w:val="00272A14"/>
    <w:rsid w:val="00276E7F"/>
    <w:rsid w:val="002821F8"/>
    <w:rsid w:val="00284094"/>
    <w:rsid w:val="00291052"/>
    <w:rsid w:val="00292613"/>
    <w:rsid w:val="002A73E8"/>
    <w:rsid w:val="002C2F97"/>
    <w:rsid w:val="002E6FC6"/>
    <w:rsid w:val="00306AF0"/>
    <w:rsid w:val="00335AAA"/>
    <w:rsid w:val="00342219"/>
    <w:rsid w:val="003437AA"/>
    <w:rsid w:val="00366067"/>
    <w:rsid w:val="003927AC"/>
    <w:rsid w:val="003971F6"/>
    <w:rsid w:val="003B4537"/>
    <w:rsid w:val="003F2AF4"/>
    <w:rsid w:val="003F7366"/>
    <w:rsid w:val="004326BB"/>
    <w:rsid w:val="004432A3"/>
    <w:rsid w:val="00456DDE"/>
    <w:rsid w:val="00473055"/>
    <w:rsid w:val="004742D0"/>
    <w:rsid w:val="004900E9"/>
    <w:rsid w:val="00497C5A"/>
    <w:rsid w:val="004A5E53"/>
    <w:rsid w:val="004B087A"/>
    <w:rsid w:val="004B24B2"/>
    <w:rsid w:val="004E0AAE"/>
    <w:rsid w:val="004F4BBA"/>
    <w:rsid w:val="005233AA"/>
    <w:rsid w:val="0052560D"/>
    <w:rsid w:val="00533F41"/>
    <w:rsid w:val="0054519F"/>
    <w:rsid w:val="00551B0F"/>
    <w:rsid w:val="005659FB"/>
    <w:rsid w:val="00582831"/>
    <w:rsid w:val="005B3E3C"/>
    <w:rsid w:val="005C2C6E"/>
    <w:rsid w:val="005C3FC1"/>
    <w:rsid w:val="005D0E04"/>
    <w:rsid w:val="005D20D4"/>
    <w:rsid w:val="005D3499"/>
    <w:rsid w:val="005E2583"/>
    <w:rsid w:val="0061684E"/>
    <w:rsid w:val="00655B10"/>
    <w:rsid w:val="00656584"/>
    <w:rsid w:val="00674B5D"/>
    <w:rsid w:val="006B6902"/>
    <w:rsid w:val="006E38F4"/>
    <w:rsid w:val="006E3C3E"/>
    <w:rsid w:val="006F2F62"/>
    <w:rsid w:val="00722A2B"/>
    <w:rsid w:val="0073522A"/>
    <w:rsid w:val="0076314E"/>
    <w:rsid w:val="00766230"/>
    <w:rsid w:val="00766BA2"/>
    <w:rsid w:val="007769CD"/>
    <w:rsid w:val="00777400"/>
    <w:rsid w:val="00777514"/>
    <w:rsid w:val="0078032B"/>
    <w:rsid w:val="00781566"/>
    <w:rsid w:val="007976E7"/>
    <w:rsid w:val="007A2CF0"/>
    <w:rsid w:val="007A318A"/>
    <w:rsid w:val="007B02FB"/>
    <w:rsid w:val="007B6D77"/>
    <w:rsid w:val="007C5E98"/>
    <w:rsid w:val="007E3B7E"/>
    <w:rsid w:val="007E5EEF"/>
    <w:rsid w:val="00802701"/>
    <w:rsid w:val="008038A2"/>
    <w:rsid w:val="00811FE8"/>
    <w:rsid w:val="0084720C"/>
    <w:rsid w:val="008620A8"/>
    <w:rsid w:val="0086436B"/>
    <w:rsid w:val="00894B97"/>
    <w:rsid w:val="00895A10"/>
    <w:rsid w:val="008B448F"/>
    <w:rsid w:val="008B5883"/>
    <w:rsid w:val="008E27C9"/>
    <w:rsid w:val="009155CE"/>
    <w:rsid w:val="0092104D"/>
    <w:rsid w:val="0093333D"/>
    <w:rsid w:val="00946E6E"/>
    <w:rsid w:val="00962A8E"/>
    <w:rsid w:val="009869CE"/>
    <w:rsid w:val="009869DE"/>
    <w:rsid w:val="00996676"/>
    <w:rsid w:val="009B1280"/>
    <w:rsid w:val="009C1F87"/>
    <w:rsid w:val="009C77E5"/>
    <w:rsid w:val="00A674FB"/>
    <w:rsid w:val="00A85311"/>
    <w:rsid w:val="00A863D2"/>
    <w:rsid w:val="00A86977"/>
    <w:rsid w:val="00AA0C3F"/>
    <w:rsid w:val="00AC3814"/>
    <w:rsid w:val="00AF0562"/>
    <w:rsid w:val="00AF22A8"/>
    <w:rsid w:val="00AF5363"/>
    <w:rsid w:val="00B10FB2"/>
    <w:rsid w:val="00B26E1A"/>
    <w:rsid w:val="00B26F2C"/>
    <w:rsid w:val="00B508F4"/>
    <w:rsid w:val="00B50D5E"/>
    <w:rsid w:val="00BA3B3E"/>
    <w:rsid w:val="00BC152C"/>
    <w:rsid w:val="00BC37A3"/>
    <w:rsid w:val="00BD0322"/>
    <w:rsid w:val="00BE066C"/>
    <w:rsid w:val="00BF3538"/>
    <w:rsid w:val="00BF5367"/>
    <w:rsid w:val="00C07817"/>
    <w:rsid w:val="00C11AA2"/>
    <w:rsid w:val="00C40728"/>
    <w:rsid w:val="00C43007"/>
    <w:rsid w:val="00C56F57"/>
    <w:rsid w:val="00C57358"/>
    <w:rsid w:val="00C6357C"/>
    <w:rsid w:val="00C67635"/>
    <w:rsid w:val="00C71005"/>
    <w:rsid w:val="00C855F5"/>
    <w:rsid w:val="00CB3A79"/>
    <w:rsid w:val="00D07064"/>
    <w:rsid w:val="00D101CB"/>
    <w:rsid w:val="00D227FC"/>
    <w:rsid w:val="00D279FC"/>
    <w:rsid w:val="00D3125F"/>
    <w:rsid w:val="00D55ADD"/>
    <w:rsid w:val="00D8544F"/>
    <w:rsid w:val="00D870AD"/>
    <w:rsid w:val="00DA0FA6"/>
    <w:rsid w:val="00DB161E"/>
    <w:rsid w:val="00DC46A7"/>
    <w:rsid w:val="00DD21B1"/>
    <w:rsid w:val="00DD33DF"/>
    <w:rsid w:val="00DE1293"/>
    <w:rsid w:val="00DF10CC"/>
    <w:rsid w:val="00E402C3"/>
    <w:rsid w:val="00E60D96"/>
    <w:rsid w:val="00E827C5"/>
    <w:rsid w:val="00E94A21"/>
    <w:rsid w:val="00EB6220"/>
    <w:rsid w:val="00EE17F7"/>
    <w:rsid w:val="00EF35EC"/>
    <w:rsid w:val="00F10A21"/>
    <w:rsid w:val="00F2180B"/>
    <w:rsid w:val="00F24EB2"/>
    <w:rsid w:val="00F259ED"/>
    <w:rsid w:val="00F50A07"/>
    <w:rsid w:val="00F57119"/>
    <w:rsid w:val="00F715FD"/>
    <w:rsid w:val="00F77C13"/>
    <w:rsid w:val="00F77DD1"/>
    <w:rsid w:val="00F90501"/>
    <w:rsid w:val="00F945DB"/>
    <w:rsid w:val="00FA3993"/>
    <w:rsid w:val="00FA5118"/>
    <w:rsid w:val="00FC35E4"/>
    <w:rsid w:val="00FC71D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82D18A"/>
  <w15:docId w15:val="{A1A984DE-B752-40E2-A81D-F267A1DA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9127788307966"/>
          <c:y val="5.7720944493966565E-2"/>
          <c:w val="0.69824509505372601"/>
          <c:h val="0.68940335833302069"/>
        </c:manualLayout>
      </c:layout>
      <c:barChart>
        <c:barDir val="col"/>
        <c:grouping val="stacked"/>
        <c:varyColors val="0"/>
        <c:ser>
          <c:idx val="0"/>
          <c:order val="0"/>
          <c:tx>
            <c:strRef>
              <c:f>'Trend Graphs'!$B$4</c:f>
              <c:strCache>
                <c:ptCount val="1"/>
                <c:pt idx="0">
                  <c:v>Met</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'Trend Graphs'!$C$2:$Q$2</c:f>
              <c:strCache>
                <c:ptCount val="15"/>
                <c:pt idx="0">
                  <c:v>M10/FY17</c:v>
                </c:pt>
                <c:pt idx="1">
                  <c:v>M11/FY17</c:v>
                </c:pt>
                <c:pt idx="2">
                  <c:v>M12/FY17</c:v>
                </c:pt>
                <c:pt idx="3">
                  <c:v>M1/FY18</c:v>
                </c:pt>
                <c:pt idx="4">
                  <c:v>M2/FY18</c:v>
                </c:pt>
                <c:pt idx="5">
                  <c:v>M3/FY18</c:v>
                </c:pt>
                <c:pt idx="6">
                  <c:v>M4/FY18</c:v>
                </c:pt>
                <c:pt idx="7">
                  <c:v>M5/FY18</c:v>
                </c:pt>
                <c:pt idx="8">
                  <c:v>M6/FY18</c:v>
                </c:pt>
                <c:pt idx="9">
                  <c:v>M7/FY18</c:v>
                </c:pt>
                <c:pt idx="10">
                  <c:v>M8/FY18</c:v>
                </c:pt>
                <c:pt idx="11">
                  <c:v>M9/FY18</c:v>
                </c:pt>
                <c:pt idx="12">
                  <c:v>M10/FY18</c:v>
                </c:pt>
                <c:pt idx="13">
                  <c:v>M11/FY18</c:v>
                </c:pt>
                <c:pt idx="14">
                  <c:v>M12/FY18</c:v>
                </c:pt>
              </c:strCache>
            </c:strRef>
          </c:cat>
          <c:val>
            <c:numRef>
              <c:f>'Trend Graphs'!$C$4:$Q$4</c:f>
              <c:numCache>
                <c:formatCode>General</c:formatCode>
                <c:ptCount val="15"/>
                <c:pt idx="0">
                  <c:v>1036</c:v>
                </c:pt>
                <c:pt idx="1">
                  <c:v>933</c:v>
                </c:pt>
                <c:pt idx="2">
                  <c:v>1159</c:v>
                </c:pt>
                <c:pt idx="3">
                  <c:v>821</c:v>
                </c:pt>
                <c:pt idx="4">
                  <c:v>856</c:v>
                </c:pt>
                <c:pt idx="5">
                  <c:v>877</c:v>
                </c:pt>
                <c:pt idx="6">
                  <c:v>823</c:v>
                </c:pt>
                <c:pt idx="7">
                  <c:v>822</c:v>
                </c:pt>
                <c:pt idx="8">
                  <c:v>880</c:v>
                </c:pt>
                <c:pt idx="9">
                  <c:v>939</c:v>
                </c:pt>
                <c:pt idx="10">
                  <c:v>839</c:v>
                </c:pt>
                <c:pt idx="11">
                  <c:v>853</c:v>
                </c:pt>
                <c:pt idx="12">
                  <c:v>827</c:v>
                </c:pt>
                <c:pt idx="13">
                  <c:v>833</c:v>
                </c:pt>
                <c:pt idx="14">
                  <c:v>846</c:v>
                </c:pt>
              </c:numCache>
            </c:numRef>
          </c:val>
          <c:extLst>
            <c:ext xmlns:c16="http://schemas.microsoft.com/office/drawing/2014/chart" uri="{C3380CC4-5D6E-409C-BE32-E72D297353CC}">
              <c16:uniqueId val="{00000000-F348-4004-B03A-CE1C7BCE52C8}"/>
            </c:ext>
          </c:extLst>
        </c:ser>
        <c:ser>
          <c:idx val="1"/>
          <c:order val="1"/>
          <c:tx>
            <c:strRef>
              <c:f>'Trend Graphs'!$B$5</c:f>
              <c:strCache>
                <c:ptCount val="1"/>
                <c:pt idx="0">
                  <c:v>Not met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'Trend Graphs'!$C$2:$Q$2</c:f>
              <c:strCache>
                <c:ptCount val="15"/>
                <c:pt idx="0">
                  <c:v>M10/FY17</c:v>
                </c:pt>
                <c:pt idx="1">
                  <c:v>M11/FY17</c:v>
                </c:pt>
                <c:pt idx="2">
                  <c:v>M12/FY17</c:v>
                </c:pt>
                <c:pt idx="3">
                  <c:v>M1/FY18</c:v>
                </c:pt>
                <c:pt idx="4">
                  <c:v>M2/FY18</c:v>
                </c:pt>
                <c:pt idx="5">
                  <c:v>M3/FY18</c:v>
                </c:pt>
                <c:pt idx="6">
                  <c:v>M4/FY18</c:v>
                </c:pt>
                <c:pt idx="7">
                  <c:v>M5/FY18</c:v>
                </c:pt>
                <c:pt idx="8">
                  <c:v>M6/FY18</c:v>
                </c:pt>
                <c:pt idx="9">
                  <c:v>M7/FY18</c:v>
                </c:pt>
                <c:pt idx="10">
                  <c:v>M8/FY18</c:v>
                </c:pt>
                <c:pt idx="11">
                  <c:v>M9/FY18</c:v>
                </c:pt>
                <c:pt idx="12">
                  <c:v>M10/FY18</c:v>
                </c:pt>
                <c:pt idx="13">
                  <c:v>M11/FY18</c:v>
                </c:pt>
                <c:pt idx="14">
                  <c:v>M12/FY18</c:v>
                </c:pt>
              </c:strCache>
            </c:strRef>
          </c:cat>
          <c:val>
            <c:numRef>
              <c:f>'Trend Graphs'!$C$5:$Q$5</c:f>
              <c:numCache>
                <c:formatCode>General</c:formatCode>
                <c:ptCount val="15"/>
                <c:pt idx="0">
                  <c:v>80</c:v>
                </c:pt>
                <c:pt idx="1">
                  <c:v>84</c:v>
                </c:pt>
                <c:pt idx="2">
                  <c:v>93</c:v>
                </c:pt>
                <c:pt idx="3">
                  <c:v>100</c:v>
                </c:pt>
                <c:pt idx="4">
                  <c:v>93</c:v>
                </c:pt>
                <c:pt idx="5">
                  <c:v>95</c:v>
                </c:pt>
                <c:pt idx="6">
                  <c:v>79</c:v>
                </c:pt>
                <c:pt idx="7">
                  <c:v>93</c:v>
                </c:pt>
                <c:pt idx="8">
                  <c:v>109</c:v>
                </c:pt>
                <c:pt idx="9">
                  <c:v>98</c:v>
                </c:pt>
                <c:pt idx="10">
                  <c:v>92</c:v>
                </c:pt>
                <c:pt idx="11">
                  <c:v>78</c:v>
                </c:pt>
                <c:pt idx="12">
                  <c:v>100</c:v>
                </c:pt>
                <c:pt idx="13">
                  <c:v>95</c:v>
                </c:pt>
                <c:pt idx="14">
                  <c:v>97</c:v>
                </c:pt>
              </c:numCache>
            </c:numRef>
          </c:val>
          <c:extLst>
            <c:ext xmlns:c16="http://schemas.microsoft.com/office/drawing/2014/chart" uri="{C3380CC4-5D6E-409C-BE32-E72D297353CC}">
              <c16:uniqueId val="{00000001-F348-4004-B03A-CE1C7BCE52C8}"/>
            </c:ext>
          </c:extLst>
        </c:ser>
        <c:dLbls>
          <c:showLegendKey val="0"/>
          <c:showVal val="0"/>
          <c:showCatName val="0"/>
          <c:showSerName val="0"/>
          <c:showPercent val="0"/>
          <c:showBubbleSize val="0"/>
        </c:dLbls>
        <c:gapWidth val="75"/>
        <c:overlap val="100"/>
        <c:axId val="28279936"/>
        <c:axId val="28281856"/>
      </c:barChart>
      <c:catAx>
        <c:axId val="28279936"/>
        <c:scaling>
          <c:orientation val="minMax"/>
        </c:scaling>
        <c:delete val="0"/>
        <c:axPos val="b"/>
        <c:title>
          <c:tx>
            <c:rich>
              <a:bodyPr/>
              <a:lstStyle/>
              <a:p>
                <a:pPr>
                  <a:defRPr sz="800"/>
                </a:pPr>
                <a:r>
                  <a:rPr lang="en-GB" sz="800"/>
                  <a:t>Month/Year</a:t>
                </a:r>
              </a:p>
            </c:rich>
          </c:tx>
          <c:overlay val="0"/>
        </c:title>
        <c:numFmt formatCode="General" sourceLinked="0"/>
        <c:majorTickMark val="none"/>
        <c:minorTickMark val="none"/>
        <c:tickLblPos val="nextTo"/>
        <c:txPr>
          <a:bodyPr rot="-5400000" vert="horz"/>
          <a:lstStyle/>
          <a:p>
            <a:pPr>
              <a:defRPr sz="700"/>
            </a:pPr>
            <a:endParaRPr lang="en-US"/>
          </a:p>
        </c:txPr>
        <c:crossAx val="28281856"/>
        <c:crosses val="autoZero"/>
        <c:auto val="1"/>
        <c:lblAlgn val="ctr"/>
        <c:lblOffset val="100"/>
        <c:noMultiLvlLbl val="0"/>
      </c:catAx>
      <c:valAx>
        <c:axId val="28281856"/>
        <c:scaling>
          <c:orientation val="minMax"/>
        </c:scaling>
        <c:delete val="0"/>
        <c:axPos val="l"/>
        <c:majorGridlines/>
        <c:title>
          <c:tx>
            <c:rich>
              <a:bodyPr/>
              <a:lstStyle/>
              <a:p>
                <a:pPr>
                  <a:defRPr sz="800"/>
                </a:pPr>
                <a:r>
                  <a:rPr lang="en-US" sz="800"/>
                  <a:t>Number of Indicators</a:t>
                </a:r>
              </a:p>
            </c:rich>
          </c:tx>
          <c:overlay val="0"/>
        </c:title>
        <c:numFmt formatCode="General" sourceLinked="1"/>
        <c:majorTickMark val="out"/>
        <c:minorTickMark val="none"/>
        <c:tickLblPos val="nextTo"/>
        <c:crossAx val="28279936"/>
        <c:crosses val="autoZero"/>
        <c:crossBetween val="between"/>
      </c:valAx>
    </c:plotArea>
    <c:legend>
      <c:legendPos val="r"/>
      <c:overlay val="0"/>
    </c:legend>
    <c:plotVisOnly val="1"/>
    <c:dispBlanksAs val="gap"/>
    <c:showDLblsOverMax val="0"/>
  </c:chart>
  <c:txPr>
    <a:bodyPr/>
    <a:lstStyle/>
    <a:p>
      <a:pPr>
        <a:defRPr sz="900">
          <a:latin typeface="Segoe UI" panose="020B0502040204020203" pitchFamily="34" charset="0"/>
          <a:ea typeface="Segoe UI" panose="020B0502040204020203" pitchFamily="34" charset="0"/>
          <a:cs typeface="Segoe UI" panose="020B0502040204020203"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17371260326778"/>
          <c:y val="4.3912175648702596E-2"/>
          <c:w val="0.60318211318974169"/>
          <c:h val="0.67522737501615349"/>
        </c:manualLayout>
      </c:layout>
      <c:lineChart>
        <c:grouping val="standard"/>
        <c:varyColors val="0"/>
        <c:ser>
          <c:idx val="0"/>
          <c:order val="0"/>
          <c:tx>
            <c:strRef>
              <c:f>'Trend Graphs'!$B$25</c:f>
              <c:strCache>
                <c:ptCount val="1"/>
                <c:pt idx="0">
                  <c:v>Children and Young People Directorate</c:v>
                </c:pt>
              </c:strCache>
            </c:strRef>
          </c:tx>
          <c:cat>
            <c:strRef>
              <c:f>'Trend Graphs'!$C$24:$Q$24</c:f>
              <c:strCache>
                <c:ptCount val="15"/>
                <c:pt idx="0">
                  <c:v>M10/FY17</c:v>
                </c:pt>
                <c:pt idx="1">
                  <c:v>M11/FY17</c:v>
                </c:pt>
                <c:pt idx="2">
                  <c:v>M12/FY17</c:v>
                </c:pt>
                <c:pt idx="3">
                  <c:v>M1/FY18</c:v>
                </c:pt>
                <c:pt idx="4">
                  <c:v>M2/FY18</c:v>
                </c:pt>
                <c:pt idx="5">
                  <c:v>M3/FY18</c:v>
                </c:pt>
                <c:pt idx="6">
                  <c:v>M4/FY18</c:v>
                </c:pt>
                <c:pt idx="7">
                  <c:v>M5/FY18</c:v>
                </c:pt>
                <c:pt idx="8">
                  <c:v>M6/FY18</c:v>
                </c:pt>
                <c:pt idx="9">
                  <c:v>M7/FY18</c:v>
                </c:pt>
                <c:pt idx="10">
                  <c:v>M8/FY18</c:v>
                </c:pt>
                <c:pt idx="11">
                  <c:v>M9/FY18</c:v>
                </c:pt>
                <c:pt idx="12">
                  <c:v>M10/FY18</c:v>
                </c:pt>
                <c:pt idx="13">
                  <c:v>M11/FY18</c:v>
                </c:pt>
                <c:pt idx="14">
                  <c:v>M12/FY18</c:v>
                </c:pt>
              </c:strCache>
            </c:strRef>
          </c:cat>
          <c:val>
            <c:numRef>
              <c:f>'Trend Graphs'!$C$25:$Q$25</c:f>
              <c:numCache>
                <c:formatCode>0%</c:formatCode>
                <c:ptCount val="15"/>
                <c:pt idx="0">
                  <c:v>0.97</c:v>
                </c:pt>
                <c:pt idx="1">
                  <c:v>0.96</c:v>
                </c:pt>
                <c:pt idx="2">
                  <c:v>0.97</c:v>
                </c:pt>
                <c:pt idx="3">
                  <c:v>0.95</c:v>
                </c:pt>
                <c:pt idx="4">
                  <c:v>0.95</c:v>
                </c:pt>
                <c:pt idx="5">
                  <c:v>0.96</c:v>
                </c:pt>
                <c:pt idx="6">
                  <c:v>0.95</c:v>
                </c:pt>
                <c:pt idx="7">
                  <c:v>0.94</c:v>
                </c:pt>
                <c:pt idx="8">
                  <c:v>0.94599999999999995</c:v>
                </c:pt>
                <c:pt idx="9">
                  <c:v>0.95</c:v>
                </c:pt>
                <c:pt idx="10">
                  <c:v>0.94599999999999995</c:v>
                </c:pt>
                <c:pt idx="11">
                  <c:v>0.94599999999999995</c:v>
                </c:pt>
                <c:pt idx="12">
                  <c:v>0.94</c:v>
                </c:pt>
                <c:pt idx="13">
                  <c:v>0.94</c:v>
                </c:pt>
                <c:pt idx="14">
                  <c:v>0.94</c:v>
                </c:pt>
              </c:numCache>
            </c:numRef>
          </c:val>
          <c:smooth val="0"/>
          <c:extLst>
            <c:ext xmlns:c16="http://schemas.microsoft.com/office/drawing/2014/chart" uri="{C3380CC4-5D6E-409C-BE32-E72D297353CC}">
              <c16:uniqueId val="{00000000-B81F-4045-8861-70FBB0D42FA8}"/>
            </c:ext>
          </c:extLst>
        </c:ser>
        <c:ser>
          <c:idx val="1"/>
          <c:order val="1"/>
          <c:tx>
            <c:strRef>
              <c:f>'Trend Graphs'!$B$26</c:f>
              <c:strCache>
                <c:ptCount val="1"/>
                <c:pt idx="0">
                  <c:v>Adults of Working Age Directorate</c:v>
                </c:pt>
              </c:strCache>
            </c:strRef>
          </c:tx>
          <c:cat>
            <c:strRef>
              <c:f>'Trend Graphs'!$C$24:$Q$24</c:f>
              <c:strCache>
                <c:ptCount val="15"/>
                <c:pt idx="0">
                  <c:v>M10/FY17</c:v>
                </c:pt>
                <c:pt idx="1">
                  <c:v>M11/FY17</c:v>
                </c:pt>
                <c:pt idx="2">
                  <c:v>M12/FY17</c:v>
                </c:pt>
                <c:pt idx="3">
                  <c:v>M1/FY18</c:v>
                </c:pt>
                <c:pt idx="4">
                  <c:v>M2/FY18</c:v>
                </c:pt>
                <c:pt idx="5">
                  <c:v>M3/FY18</c:v>
                </c:pt>
                <c:pt idx="6">
                  <c:v>M4/FY18</c:v>
                </c:pt>
                <c:pt idx="7">
                  <c:v>M5/FY18</c:v>
                </c:pt>
                <c:pt idx="8">
                  <c:v>M6/FY18</c:v>
                </c:pt>
                <c:pt idx="9">
                  <c:v>M7/FY18</c:v>
                </c:pt>
                <c:pt idx="10">
                  <c:v>M8/FY18</c:v>
                </c:pt>
                <c:pt idx="11">
                  <c:v>M9/FY18</c:v>
                </c:pt>
                <c:pt idx="12">
                  <c:v>M10/FY18</c:v>
                </c:pt>
                <c:pt idx="13">
                  <c:v>M11/FY18</c:v>
                </c:pt>
                <c:pt idx="14">
                  <c:v>M12/FY18</c:v>
                </c:pt>
              </c:strCache>
            </c:strRef>
          </c:cat>
          <c:val>
            <c:numRef>
              <c:f>'Trend Graphs'!$C$26:$Q$26</c:f>
              <c:numCache>
                <c:formatCode>0%</c:formatCode>
                <c:ptCount val="15"/>
                <c:pt idx="0">
                  <c:v>0.68</c:v>
                </c:pt>
                <c:pt idx="1">
                  <c:v>0.67</c:v>
                </c:pt>
                <c:pt idx="2">
                  <c:v>0.69</c:v>
                </c:pt>
                <c:pt idx="3">
                  <c:v>0.76</c:v>
                </c:pt>
                <c:pt idx="4">
                  <c:v>0.73</c:v>
                </c:pt>
                <c:pt idx="5">
                  <c:v>0.75</c:v>
                </c:pt>
                <c:pt idx="6">
                  <c:v>0.82</c:v>
                </c:pt>
                <c:pt idx="7">
                  <c:v>0.77</c:v>
                </c:pt>
                <c:pt idx="8">
                  <c:v>0.75</c:v>
                </c:pt>
                <c:pt idx="9">
                  <c:v>0.75</c:v>
                </c:pt>
                <c:pt idx="10">
                  <c:v>0.72899999999999998</c:v>
                </c:pt>
                <c:pt idx="11">
                  <c:v>0.75</c:v>
                </c:pt>
                <c:pt idx="12">
                  <c:v>0.74</c:v>
                </c:pt>
                <c:pt idx="13">
                  <c:v>0.75</c:v>
                </c:pt>
                <c:pt idx="14">
                  <c:v>0.75</c:v>
                </c:pt>
              </c:numCache>
            </c:numRef>
          </c:val>
          <c:smooth val="0"/>
          <c:extLst>
            <c:ext xmlns:c16="http://schemas.microsoft.com/office/drawing/2014/chart" uri="{C3380CC4-5D6E-409C-BE32-E72D297353CC}">
              <c16:uniqueId val="{00000001-B81F-4045-8861-70FBB0D42FA8}"/>
            </c:ext>
          </c:extLst>
        </c:ser>
        <c:ser>
          <c:idx val="2"/>
          <c:order val="2"/>
          <c:tx>
            <c:strRef>
              <c:f>'Trend Graphs'!$B$27</c:f>
              <c:strCache>
                <c:ptCount val="1"/>
                <c:pt idx="0">
                  <c:v>Older People's Directorate</c:v>
                </c:pt>
              </c:strCache>
            </c:strRef>
          </c:tx>
          <c:cat>
            <c:strRef>
              <c:f>'Trend Graphs'!$C$24:$Q$24</c:f>
              <c:strCache>
                <c:ptCount val="15"/>
                <c:pt idx="0">
                  <c:v>M10/FY17</c:v>
                </c:pt>
                <c:pt idx="1">
                  <c:v>M11/FY17</c:v>
                </c:pt>
                <c:pt idx="2">
                  <c:v>M12/FY17</c:v>
                </c:pt>
                <c:pt idx="3">
                  <c:v>M1/FY18</c:v>
                </c:pt>
                <c:pt idx="4">
                  <c:v>M2/FY18</c:v>
                </c:pt>
                <c:pt idx="5">
                  <c:v>M3/FY18</c:v>
                </c:pt>
                <c:pt idx="6">
                  <c:v>M4/FY18</c:v>
                </c:pt>
                <c:pt idx="7">
                  <c:v>M5/FY18</c:v>
                </c:pt>
                <c:pt idx="8">
                  <c:v>M6/FY18</c:v>
                </c:pt>
                <c:pt idx="9">
                  <c:v>M7/FY18</c:v>
                </c:pt>
                <c:pt idx="10">
                  <c:v>M8/FY18</c:v>
                </c:pt>
                <c:pt idx="11">
                  <c:v>M9/FY18</c:v>
                </c:pt>
                <c:pt idx="12">
                  <c:v>M10/FY18</c:v>
                </c:pt>
                <c:pt idx="13">
                  <c:v>M11/FY18</c:v>
                </c:pt>
                <c:pt idx="14">
                  <c:v>M12/FY18</c:v>
                </c:pt>
              </c:strCache>
            </c:strRef>
          </c:cat>
          <c:val>
            <c:numRef>
              <c:f>'Trend Graphs'!$C$27:$Q$27</c:f>
              <c:numCache>
                <c:formatCode>0%</c:formatCode>
                <c:ptCount val="15"/>
                <c:pt idx="0">
                  <c:v>0.84</c:v>
                </c:pt>
                <c:pt idx="1">
                  <c:v>0.82</c:v>
                </c:pt>
                <c:pt idx="2">
                  <c:v>0.78</c:v>
                </c:pt>
                <c:pt idx="3">
                  <c:v>0.65</c:v>
                </c:pt>
                <c:pt idx="4">
                  <c:v>0.76</c:v>
                </c:pt>
                <c:pt idx="5">
                  <c:v>0.71</c:v>
                </c:pt>
                <c:pt idx="6">
                  <c:v>0.75</c:v>
                </c:pt>
                <c:pt idx="7">
                  <c:v>0.74</c:v>
                </c:pt>
                <c:pt idx="8">
                  <c:v>0.73</c:v>
                </c:pt>
                <c:pt idx="9">
                  <c:v>0.75</c:v>
                </c:pt>
                <c:pt idx="10">
                  <c:v>0.81799999999999995</c:v>
                </c:pt>
                <c:pt idx="11">
                  <c:v>0.81799999999999995</c:v>
                </c:pt>
                <c:pt idx="12">
                  <c:v>0.77</c:v>
                </c:pt>
                <c:pt idx="13">
                  <c:v>0.77</c:v>
                </c:pt>
                <c:pt idx="14">
                  <c:v>0.8</c:v>
                </c:pt>
              </c:numCache>
            </c:numRef>
          </c:val>
          <c:smooth val="0"/>
          <c:extLst>
            <c:ext xmlns:c16="http://schemas.microsoft.com/office/drawing/2014/chart" uri="{C3380CC4-5D6E-409C-BE32-E72D297353CC}">
              <c16:uniqueId val="{00000002-B81F-4045-8861-70FBB0D42FA8}"/>
            </c:ext>
          </c:extLst>
        </c:ser>
        <c:dLbls>
          <c:showLegendKey val="0"/>
          <c:showVal val="0"/>
          <c:showCatName val="0"/>
          <c:showSerName val="0"/>
          <c:showPercent val="0"/>
          <c:showBubbleSize val="0"/>
        </c:dLbls>
        <c:marker val="1"/>
        <c:smooth val="0"/>
        <c:axId val="38740736"/>
        <c:axId val="38742656"/>
      </c:lineChart>
      <c:catAx>
        <c:axId val="38740736"/>
        <c:scaling>
          <c:orientation val="minMax"/>
        </c:scaling>
        <c:delete val="0"/>
        <c:axPos val="b"/>
        <c:title>
          <c:tx>
            <c:rich>
              <a:bodyPr/>
              <a:lstStyle/>
              <a:p>
                <a:pPr>
                  <a:defRPr/>
                </a:pPr>
                <a:r>
                  <a:rPr lang="en-US"/>
                  <a:t>Month/Year</a:t>
                </a:r>
              </a:p>
            </c:rich>
          </c:tx>
          <c:overlay val="0"/>
        </c:title>
        <c:numFmt formatCode="General" sourceLinked="0"/>
        <c:majorTickMark val="none"/>
        <c:minorTickMark val="none"/>
        <c:tickLblPos val="nextTo"/>
        <c:txPr>
          <a:bodyPr rot="-5400000" vert="horz"/>
          <a:lstStyle/>
          <a:p>
            <a:pPr>
              <a:defRPr sz="700"/>
            </a:pPr>
            <a:endParaRPr lang="en-US"/>
          </a:p>
        </c:txPr>
        <c:crossAx val="38742656"/>
        <c:crosses val="autoZero"/>
        <c:auto val="1"/>
        <c:lblAlgn val="ctr"/>
        <c:lblOffset val="100"/>
        <c:noMultiLvlLbl val="0"/>
      </c:catAx>
      <c:valAx>
        <c:axId val="38742656"/>
        <c:scaling>
          <c:orientation val="minMax"/>
        </c:scaling>
        <c:delete val="0"/>
        <c:axPos val="l"/>
        <c:majorGridlines/>
        <c:title>
          <c:tx>
            <c:rich>
              <a:bodyPr/>
              <a:lstStyle/>
              <a:p>
                <a:pPr>
                  <a:defRPr/>
                </a:pPr>
                <a:r>
                  <a:rPr lang="en-US"/>
                  <a:t>% achieved</a:t>
                </a:r>
              </a:p>
            </c:rich>
          </c:tx>
          <c:overlay val="0"/>
        </c:title>
        <c:numFmt formatCode="0%" sourceLinked="1"/>
        <c:majorTickMark val="out"/>
        <c:minorTickMark val="none"/>
        <c:tickLblPos val="nextTo"/>
        <c:txPr>
          <a:bodyPr/>
          <a:lstStyle/>
          <a:p>
            <a:pPr>
              <a:defRPr sz="800"/>
            </a:pPr>
            <a:endParaRPr lang="en-US"/>
          </a:p>
        </c:txPr>
        <c:crossAx val="38740736"/>
        <c:crosses val="autoZero"/>
        <c:crossBetween val="between"/>
      </c:valAx>
    </c:plotArea>
    <c:legend>
      <c:legendPos val="r"/>
      <c:layout>
        <c:manualLayout>
          <c:xMode val="edge"/>
          <c:yMode val="edge"/>
          <c:x val="0.76936766240812093"/>
          <c:y val="0.10774924356866258"/>
          <c:w val="0.21587219405529409"/>
          <c:h val="0.57009790159931195"/>
        </c:manualLayout>
      </c:layout>
      <c:overlay val="0"/>
    </c:legend>
    <c:plotVisOnly val="1"/>
    <c:dispBlanksAs val="gap"/>
    <c:showDLblsOverMax val="0"/>
  </c:chart>
  <c:txPr>
    <a:bodyPr/>
    <a:lstStyle/>
    <a:p>
      <a:pPr>
        <a:defRPr sz="800">
          <a:latin typeface="Segoe UI" panose="020B0502040204020203" pitchFamily="34" charset="0"/>
          <a:ea typeface="Segoe UI" panose="020B0502040204020203" pitchFamily="34" charset="0"/>
          <a:cs typeface="Segoe UI" panose="020B0502040204020203"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4189-3A6B-4DDE-8815-EA3E02C6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1389</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Lauraj (RNU) Oxford Health</cp:lastModifiedBy>
  <cp:revision>4</cp:revision>
  <cp:lastPrinted>2014-03-17T14:55:00Z</cp:lastPrinted>
  <dcterms:created xsi:type="dcterms:W3CDTF">2018-06-06T11:01:00Z</dcterms:created>
  <dcterms:modified xsi:type="dcterms:W3CDTF">2018-06-07T07:59:00Z</dcterms:modified>
</cp:coreProperties>
</file>