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33F" w:rsidRPr="00D91E5F" w:rsidRDefault="00E273B4">
      <w:pPr>
        <w:jc w:val="right"/>
        <w:rPr>
          <w:rFonts w:ascii="Segoe UI" w:hAnsi="Segoe UI" w:cs="Segoe UI"/>
          <w:sz w:val="23"/>
          <w:szCs w:val="23"/>
        </w:rPr>
      </w:pPr>
      <w:r w:rsidRPr="00D91E5F">
        <w:rPr>
          <w:rFonts w:ascii="Segoe UI" w:hAnsi="Segoe UI" w:cs="Segoe UI"/>
          <w:noProof/>
          <w:sz w:val="23"/>
          <w:szCs w:val="23"/>
          <w:lang w:eastAsia="en-GB"/>
        </w:rPr>
        <w:drawing>
          <wp:inline distT="0" distB="0" distL="0" distR="0" wp14:anchorId="42654988" wp14:editId="42C2B468">
            <wp:extent cx="2552700" cy="504825"/>
            <wp:effectExtent l="1905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pic:cNvPicPr>
                      <a:picLocks noChangeAspect="1" noChangeArrowheads="1"/>
                    </pic:cNvPicPr>
                  </pic:nvPicPr>
                  <pic:blipFill>
                    <a:blip r:embed="rId10" cstate="print"/>
                    <a:srcRect/>
                    <a:stretch>
                      <a:fillRect/>
                    </a:stretch>
                  </pic:blipFill>
                  <pic:spPr>
                    <a:xfrm>
                      <a:off x="0" y="0"/>
                      <a:ext cx="2552700" cy="504825"/>
                    </a:xfrm>
                    <a:prstGeom prst="rect">
                      <a:avLst/>
                    </a:prstGeom>
                    <a:noFill/>
                    <a:ln w="9525">
                      <a:noFill/>
                      <a:miter lim="800000"/>
                      <a:headEnd/>
                      <a:tailEnd/>
                    </a:ln>
                  </pic:spPr>
                </pic:pic>
              </a:graphicData>
            </a:graphic>
          </wp:inline>
        </w:drawing>
      </w:r>
    </w:p>
    <w:p w:rsidR="0053433F" w:rsidRPr="00D91E5F" w:rsidRDefault="00E273B4">
      <w:pPr>
        <w:jc w:val="center"/>
        <w:rPr>
          <w:rFonts w:ascii="Segoe UI" w:hAnsi="Segoe UI" w:cs="Segoe UI"/>
          <w:sz w:val="23"/>
          <w:szCs w:val="23"/>
        </w:rPr>
      </w:pPr>
      <w:r w:rsidRPr="00D91E5F">
        <w:rPr>
          <w:rFonts w:ascii="Segoe UI" w:hAnsi="Segoe UI" w:cs="Segoe UI"/>
          <w:noProof/>
          <w:sz w:val="23"/>
          <w:szCs w:val="23"/>
          <w:lang w:eastAsia="en-GB"/>
        </w:rPr>
        <mc:AlternateContent>
          <mc:Choice Requires="wps">
            <w:drawing>
              <wp:anchor distT="0" distB="0" distL="114300" distR="114300" simplePos="0" relativeHeight="251658240" behindDoc="0" locked="0" layoutInCell="1" allowOverlap="1" wp14:anchorId="428FD6FE" wp14:editId="2337A69E">
                <wp:simplePos x="0" y="0"/>
                <wp:positionH relativeFrom="column">
                  <wp:posOffset>4631690</wp:posOffset>
                </wp:positionH>
                <wp:positionV relativeFrom="paragraph">
                  <wp:posOffset>195580</wp:posOffset>
                </wp:positionV>
                <wp:extent cx="1257300" cy="590550"/>
                <wp:effectExtent l="0" t="0" r="19050"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90550"/>
                        </a:xfrm>
                        <a:prstGeom prst="rect">
                          <a:avLst/>
                        </a:prstGeom>
                        <a:solidFill>
                          <a:srgbClr val="FFFFFF"/>
                        </a:solidFill>
                        <a:ln w="9525">
                          <a:solidFill>
                            <a:srgbClr val="000000"/>
                          </a:solidFill>
                          <a:miter lim="800000"/>
                        </a:ln>
                      </wps:spPr>
                      <wps:txbx>
                        <w:txbxContent>
                          <w:p w:rsidR="006319D2" w:rsidRDefault="00F80ACF">
                            <w:pPr>
                              <w:pStyle w:val="BodyText"/>
                              <w:rPr>
                                <w:b w:val="0"/>
                              </w:rPr>
                            </w:pPr>
                            <w:r>
                              <w:t>BOD 127(</w:t>
                            </w:r>
                            <w:proofErr w:type="spellStart"/>
                            <w:r>
                              <w:t>i</w:t>
                            </w:r>
                            <w:proofErr w:type="spellEnd"/>
                            <w:r>
                              <w:t>)</w:t>
                            </w:r>
                            <w:r w:rsidR="006319D2">
                              <w:t>/2017</w:t>
                            </w:r>
                          </w:p>
                          <w:p w:rsidR="006319D2" w:rsidRDefault="006319D2">
                            <w:pPr>
                              <w:pStyle w:val="BodyText"/>
                              <w:rPr>
                                <w:b w:val="0"/>
                                <w:sz w:val="22"/>
                                <w:szCs w:val="22"/>
                              </w:rPr>
                            </w:pPr>
                            <w:r>
                              <w:rPr>
                                <w:b w:val="0"/>
                                <w:sz w:val="22"/>
                                <w:szCs w:val="22"/>
                              </w:rPr>
                              <w:t>(Agenda item: 4)</w:t>
                            </w:r>
                          </w:p>
                          <w:p w:rsidR="006319D2" w:rsidRDefault="006319D2">
                            <w:pPr>
                              <w:pStyle w:val="BodyText"/>
                              <w:rPr>
                                <w:b w:val="0"/>
                                <w:sz w:val="22"/>
                                <w:szCs w:val="22"/>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ect id="Rectangle 4" o:spid="_x0000_s1026" style="position:absolute;left:0;text-align:left;margin-left:364.7pt;margin-top:15.4pt;width:99pt;height:4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">
                <v:textbox inset="0,0,0,0">
                  <w:txbxContent>
                    <w:p w:rsidR="006319D2" w:rsidRDefault="00F80ACF">
                      <w:pPr>
                        <w:pStyle w:val="BodyText"/>
                        <w:rPr>
                          <w:b w:val="0"/>
                        </w:rPr>
                      </w:pPr>
                      <w:r>
                        <w:t>BOD 127(</w:t>
                      </w:r>
                      <w:proofErr w:type="spellStart"/>
                      <w:r>
                        <w:t>i</w:t>
                      </w:r>
                      <w:proofErr w:type="spellEnd"/>
                      <w:r>
                        <w:t>)</w:t>
                      </w:r>
                      <w:r w:rsidR="006319D2">
                        <w:t>/2017</w:t>
                      </w:r>
                    </w:p>
                    <w:p w:rsidR="006319D2" w:rsidRDefault="006319D2">
                      <w:pPr>
                        <w:pStyle w:val="BodyText"/>
                        <w:rPr>
                          <w:b w:val="0"/>
                          <w:sz w:val="22"/>
                          <w:szCs w:val="22"/>
                        </w:rPr>
                      </w:pPr>
                      <w:r>
                        <w:rPr>
                          <w:b w:val="0"/>
                          <w:sz w:val="22"/>
                          <w:szCs w:val="22"/>
                        </w:rPr>
                        <w:t>(Agenda item: 4)</w:t>
                      </w:r>
                    </w:p>
                    <w:p w:rsidR="006319D2" w:rsidRDefault="006319D2">
                      <w:pPr>
                        <w:pStyle w:val="BodyText"/>
                        <w:rPr>
                          <w:b w:val="0"/>
                          <w:sz w:val="22"/>
                          <w:szCs w:val="22"/>
                        </w:rPr>
                      </w:pPr>
                    </w:p>
                  </w:txbxContent>
                </v:textbox>
              </v:rect>
            </w:pict>
          </mc:Fallback>
        </mc:AlternateContent>
      </w:r>
    </w:p>
    <w:p w:rsidR="0053433F" w:rsidRPr="00D91E5F" w:rsidRDefault="0053433F">
      <w:pPr>
        <w:pStyle w:val="Heading1"/>
        <w:rPr>
          <w:rFonts w:ascii="Segoe UI" w:hAnsi="Segoe UI" w:cs="Segoe UI"/>
          <w:sz w:val="23"/>
          <w:szCs w:val="23"/>
        </w:rPr>
      </w:pPr>
    </w:p>
    <w:p w:rsidR="0053433F" w:rsidRPr="00D91E5F" w:rsidRDefault="00E273B4">
      <w:pPr>
        <w:pStyle w:val="Heading1"/>
        <w:jc w:val="center"/>
        <w:rPr>
          <w:rFonts w:ascii="Segoe UI" w:hAnsi="Segoe UI" w:cs="Segoe UI"/>
          <w:sz w:val="24"/>
          <w:szCs w:val="24"/>
          <w:u w:val="none"/>
        </w:rPr>
      </w:pPr>
      <w:r w:rsidRPr="00D91E5F">
        <w:rPr>
          <w:rFonts w:ascii="Segoe UI" w:hAnsi="Segoe UI" w:cs="Segoe UI"/>
          <w:sz w:val="24"/>
          <w:szCs w:val="24"/>
          <w:u w:val="none"/>
        </w:rPr>
        <w:t xml:space="preserve">Report to the Meeting of the </w:t>
      </w:r>
    </w:p>
    <w:p w:rsidR="0053433F" w:rsidRPr="00D91E5F" w:rsidRDefault="00E273B4">
      <w:pPr>
        <w:pStyle w:val="Heading1"/>
        <w:jc w:val="center"/>
        <w:rPr>
          <w:rFonts w:ascii="Segoe UI" w:hAnsi="Segoe UI" w:cs="Segoe UI"/>
          <w:sz w:val="24"/>
          <w:szCs w:val="24"/>
          <w:u w:val="none"/>
        </w:rPr>
      </w:pPr>
      <w:r w:rsidRPr="00D91E5F">
        <w:rPr>
          <w:rFonts w:ascii="Segoe UI" w:hAnsi="Segoe UI" w:cs="Segoe UI"/>
          <w:sz w:val="24"/>
          <w:szCs w:val="24"/>
          <w:u w:val="none"/>
        </w:rPr>
        <w:t>Oxford Health NHS Foundation Trust</w:t>
      </w:r>
    </w:p>
    <w:p w:rsidR="0053433F" w:rsidRPr="00D91E5F" w:rsidRDefault="00E273B4">
      <w:pPr>
        <w:pStyle w:val="Heading1"/>
        <w:jc w:val="center"/>
        <w:rPr>
          <w:rFonts w:ascii="Segoe UI" w:hAnsi="Segoe UI" w:cs="Segoe UI"/>
          <w:sz w:val="24"/>
          <w:szCs w:val="24"/>
          <w:u w:val="none"/>
        </w:rPr>
      </w:pPr>
      <w:r w:rsidRPr="00D91E5F">
        <w:rPr>
          <w:rFonts w:ascii="Segoe UI" w:hAnsi="Segoe UI" w:cs="Segoe UI"/>
          <w:sz w:val="24"/>
          <w:szCs w:val="24"/>
          <w:u w:val="none"/>
        </w:rPr>
        <w:t xml:space="preserve">Board of Directors </w:t>
      </w:r>
    </w:p>
    <w:p w:rsidR="0053433F" w:rsidRPr="00D91E5F" w:rsidRDefault="00480F46">
      <w:pPr>
        <w:jc w:val="center"/>
        <w:rPr>
          <w:rFonts w:ascii="Segoe UI" w:hAnsi="Segoe UI" w:cs="Segoe UI"/>
          <w:b/>
        </w:rPr>
      </w:pPr>
      <w:r w:rsidRPr="00D91E5F">
        <w:rPr>
          <w:rFonts w:ascii="Segoe UI" w:hAnsi="Segoe UI" w:cs="Segoe UI"/>
          <w:b/>
        </w:rPr>
        <w:t>25</w:t>
      </w:r>
      <w:r w:rsidR="00E273B4" w:rsidRPr="00D91E5F">
        <w:rPr>
          <w:rFonts w:ascii="Segoe UI" w:hAnsi="Segoe UI" w:cs="Segoe UI"/>
          <w:b/>
          <w:vertAlign w:val="superscript"/>
        </w:rPr>
        <w:t>th</w:t>
      </w:r>
      <w:r w:rsidRPr="00D91E5F">
        <w:rPr>
          <w:rFonts w:ascii="Segoe UI" w:hAnsi="Segoe UI" w:cs="Segoe UI"/>
          <w:b/>
        </w:rPr>
        <w:t xml:space="preserve"> Octo</w:t>
      </w:r>
      <w:r w:rsidR="00B9048E" w:rsidRPr="00D91E5F">
        <w:rPr>
          <w:rFonts w:ascii="Segoe UI" w:hAnsi="Segoe UI" w:cs="Segoe UI"/>
          <w:b/>
        </w:rPr>
        <w:t>ber</w:t>
      </w:r>
      <w:r w:rsidR="00E273B4" w:rsidRPr="00D91E5F">
        <w:rPr>
          <w:rFonts w:ascii="Segoe UI" w:hAnsi="Segoe UI" w:cs="Segoe UI"/>
          <w:b/>
        </w:rPr>
        <w:t>, 2017</w:t>
      </w:r>
    </w:p>
    <w:p w:rsidR="0053433F" w:rsidRPr="00D91E5F" w:rsidRDefault="00E273B4">
      <w:pPr>
        <w:jc w:val="center"/>
        <w:rPr>
          <w:rFonts w:ascii="Segoe UI" w:hAnsi="Segoe UI" w:cs="Segoe UI"/>
          <w:b/>
        </w:rPr>
      </w:pPr>
      <w:r w:rsidRPr="00D91E5F">
        <w:rPr>
          <w:rFonts w:ascii="Segoe UI" w:hAnsi="Segoe UI" w:cs="Segoe UI"/>
          <w:b/>
        </w:rPr>
        <w:t xml:space="preserve">Chief Executive’s Report </w:t>
      </w:r>
    </w:p>
    <w:p w:rsidR="007E3BA0" w:rsidRPr="00D91E5F" w:rsidRDefault="007E3BA0" w:rsidP="007E3BA0">
      <w:pPr>
        <w:spacing w:before="100" w:beforeAutospacing="1"/>
        <w:rPr>
          <w:sz w:val="23"/>
          <w:szCs w:val="23"/>
        </w:rPr>
      </w:pPr>
      <w:r w:rsidRPr="00D91E5F">
        <w:rPr>
          <w:rFonts w:ascii="Segoe UI" w:hAnsi="Segoe UI" w:cs="Segoe UI"/>
          <w:b/>
          <w:bCs/>
          <w:sz w:val="23"/>
          <w:szCs w:val="23"/>
          <w:u w:val="single"/>
        </w:rPr>
        <w:t>For Discussion</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Nationally and locally attention is focussing on urgent care and winter planning to include delayed transfers of care and emergency access times in readiness for what is anticipated will be a potentially difficult winter ahead. Key issues remain workforce across the whole of the health and care system, and growing concerns about the potential impact of flu, given experience in the Southern Hemisphere.</w:t>
      </w:r>
    </w:p>
    <w:p w:rsidR="007E3BA0" w:rsidRPr="00D91E5F" w:rsidRDefault="007E3BA0" w:rsidP="00D91E5F">
      <w:pPr>
        <w:spacing w:before="100" w:beforeAutospacing="1"/>
        <w:rPr>
          <w:sz w:val="22"/>
          <w:szCs w:val="22"/>
        </w:rPr>
      </w:pPr>
      <w:r w:rsidRPr="00D91E5F">
        <w:rPr>
          <w:rFonts w:ascii="Segoe UI" w:hAnsi="Segoe UI" w:cs="Segoe UI"/>
          <w:b/>
          <w:bCs/>
          <w:sz w:val="22"/>
          <w:szCs w:val="22"/>
        </w:rPr>
        <w:t>  Local issues</w:t>
      </w:r>
    </w:p>
    <w:p w:rsidR="007E3BA0" w:rsidRPr="00D91E5F" w:rsidRDefault="007E3BA0" w:rsidP="00D91E5F">
      <w:pPr>
        <w:numPr>
          <w:ilvl w:val="0"/>
          <w:numId w:val="1"/>
        </w:numPr>
        <w:spacing w:before="100" w:beforeAutospacing="1"/>
        <w:rPr>
          <w:sz w:val="22"/>
          <w:szCs w:val="22"/>
        </w:rPr>
      </w:pPr>
      <w:r w:rsidRPr="00D91E5F">
        <w:rPr>
          <w:rFonts w:ascii="Segoe UI" w:hAnsi="Segoe UI" w:cs="Segoe UI"/>
          <w:b/>
          <w:bCs/>
          <w:sz w:val="22"/>
          <w:szCs w:val="22"/>
        </w:rPr>
        <w:t>Financial Plan FY18</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t xml:space="preserve">Given the reported results and in particular the Trust’s underlying position year to date, it is important that we have a tight grip on expenditure service by service by controlling risk and exploring further opportunities for cost improvement vigorously. I will be conducting detailed discussions with Directorates over the next few months to ensure that as much progress is made as possible. The Board will be considering its </w:t>
      </w:r>
      <w:r w:rsidRPr="00D91E5F">
        <w:rPr>
          <w:rFonts w:ascii="Segoe UI" w:hAnsi="Segoe UI" w:cs="Segoe UI"/>
          <w:sz w:val="22"/>
          <w:szCs w:val="22"/>
        </w:rPr>
        <w:t>mid-year</w:t>
      </w:r>
      <w:r w:rsidRPr="00D91E5F">
        <w:rPr>
          <w:rFonts w:ascii="Segoe UI" w:hAnsi="Segoe UI" w:cs="Segoe UI"/>
          <w:sz w:val="22"/>
          <w:szCs w:val="22"/>
        </w:rPr>
        <w:t xml:space="preserve"> forecast later on.</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 xml:space="preserve">The detail of our performance is included in the finance report, but the headline financial result for the six month period to the end of September 2017 is an Income &amp; Expenditure surplus of £0.1m, which is £0.7m adverse to plan. However, this includes £1.3m of one-off benefits which when excluded results in an underlying deficit position of £1.2m, which is £2.0m adverse to plan. </w:t>
      </w:r>
      <w:r w:rsidRPr="00D91E5F">
        <w:rPr>
          <w:rFonts w:ascii="Segoe UI" w:hAnsi="Segoe UI" w:cs="Segoe UI"/>
          <w:sz w:val="22"/>
          <w:szCs w:val="22"/>
        </w:rPr>
        <w:lastRenderedPageBreak/>
        <w:t xml:space="preserve">The underlying adverse position is mainly due to a shortfall in delivery of CIP, provision for the CQUIN risk reserve the Trust is required to set aside and the risk on delivery of national CQUINs, and operational pressures in services including the delay in taking on LD services. </w:t>
      </w:r>
    </w:p>
    <w:p w:rsidR="007E3BA0" w:rsidRPr="00D91E5F" w:rsidRDefault="007E3BA0" w:rsidP="00D91E5F">
      <w:pPr>
        <w:jc w:val="both"/>
        <w:rPr>
          <w:rFonts w:ascii="Calibri" w:eastAsiaTheme="minorHAnsi" w:hAnsi="Calibri"/>
          <w:sz w:val="22"/>
          <w:szCs w:val="22"/>
        </w:rPr>
      </w:pPr>
      <w:r w:rsidRPr="00D91E5F">
        <w:rPr>
          <w:sz w:val="22"/>
          <w:szCs w:val="22"/>
          <w:lang w:eastAsia="en-GB"/>
        </w:rPr>
        <w:br/>
      </w:r>
      <w:r w:rsidRPr="00D91E5F">
        <w:rPr>
          <w:rFonts w:ascii="Segoe UI" w:hAnsi="Segoe UI" w:cs="Segoe UI"/>
          <w:sz w:val="22"/>
          <w:szCs w:val="22"/>
        </w:rPr>
        <w:t>The forecast year-end position is a surplus of £2.2m (including £2.3m of Sustainability &amp; Transformation funding (</w:t>
      </w:r>
      <w:r w:rsidRPr="00D91E5F">
        <w:rPr>
          <w:rFonts w:ascii="Segoe UI" w:hAnsi="Segoe UI" w:cs="Segoe UI"/>
          <w:b/>
          <w:bCs/>
          <w:sz w:val="22"/>
          <w:szCs w:val="22"/>
        </w:rPr>
        <w:t>STF</w:t>
      </w:r>
      <w:r w:rsidRPr="00D91E5F">
        <w:rPr>
          <w:rFonts w:ascii="Segoe UI" w:hAnsi="Segoe UI" w:cs="Segoe UI"/>
          <w:sz w:val="22"/>
          <w:szCs w:val="22"/>
        </w:rPr>
        <w:t>)) which is £0.4m favourable to plan due to the receipt of STF funds related to the prior year. The forecast is in line with the control total. Based on the year-to-date results the Trust’s overall Use of Resources risk rating would be a ‘2’, however, the Agency metric is rated as a ‘4’ because spend on agency staff was 179% above the ceiling set by NHSI resulting in an override to cap the Trust’s rating at a ‘3’. The Trust continues to work on solutions to help address spend on agency.</w:t>
      </w:r>
    </w:p>
    <w:p w:rsidR="007E3BA0" w:rsidRPr="00D91E5F" w:rsidRDefault="007E3BA0" w:rsidP="00D91E5F">
      <w:pPr>
        <w:numPr>
          <w:ilvl w:val="0"/>
          <w:numId w:val="23"/>
        </w:numPr>
        <w:spacing w:before="100" w:beforeAutospacing="1"/>
        <w:rPr>
          <w:sz w:val="22"/>
          <w:szCs w:val="22"/>
        </w:rPr>
      </w:pPr>
      <w:r w:rsidRPr="00D91E5F">
        <w:rPr>
          <w:rFonts w:ascii="Segoe UI" w:hAnsi="Segoe UI" w:cs="Segoe UI"/>
          <w:b/>
          <w:bCs/>
          <w:sz w:val="22"/>
          <w:szCs w:val="22"/>
        </w:rPr>
        <w:t>FY18 – contract/risk share governance</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t xml:space="preserve">Progress continues with implementation of some of the agreed mitigations of the £18m (largely activity based) risk outlined in the contractual agreement between </w:t>
      </w:r>
      <w:proofErr w:type="gramStart"/>
      <w:r w:rsidRPr="00D91E5F">
        <w:rPr>
          <w:rFonts w:ascii="Segoe UI" w:hAnsi="Segoe UI" w:cs="Segoe UI"/>
          <w:sz w:val="22"/>
          <w:szCs w:val="22"/>
        </w:rPr>
        <w:t>ourselves</w:t>
      </w:r>
      <w:proofErr w:type="gramEnd"/>
      <w:r w:rsidRPr="00D91E5F">
        <w:rPr>
          <w:rFonts w:ascii="Segoe UI" w:hAnsi="Segoe UI" w:cs="Segoe UI"/>
          <w:sz w:val="22"/>
          <w:szCs w:val="22"/>
        </w:rPr>
        <w:t xml:space="preserve">, OUH and Oxfordshire CCG. Detailed consideration of the likely impact of RTT risk will be possible after a meeting with NHSI at the end of October, at which the latest plan from OUH will be available. Pending that meeting it remains likely that the prospect of RTT risk materialising within the year beyond the quantum originally anticipated has diminished considerably because of workforce pressures within OUH, but there remains a significant likelihood of non-elective risk increasing as the year progresses, so it is very important to press on with measures which will help to manage emergency care better across the county, as these will help to mitigate that risk as we head into winter. </w:t>
      </w:r>
    </w:p>
    <w:p w:rsidR="007E3BA0" w:rsidRPr="00D91E5F" w:rsidRDefault="007E3BA0" w:rsidP="00D91E5F">
      <w:pPr>
        <w:jc w:val="both"/>
        <w:rPr>
          <w:rFonts w:ascii="Calibri" w:eastAsiaTheme="minorHAnsi" w:hAnsi="Calibri"/>
          <w:sz w:val="22"/>
          <w:szCs w:val="22"/>
        </w:rPr>
      </w:pPr>
      <w:r w:rsidRPr="00D91E5F">
        <w:rPr>
          <w:rFonts w:ascii="Segoe UI" w:hAnsi="Segoe UI" w:cs="Segoe UI"/>
          <w:sz w:val="22"/>
          <w:szCs w:val="22"/>
        </w:rPr>
        <w:t>It should be noted that an integral part of the contractual agreement is a commitment by all parties to fund mental health service developments needed to implement the Mental Health Five Year Forward View in 2018/19. We have reminded Oxfordshire CCG that failure to implement this part of the agreement renders the whole void, and will be maintaining the pressure to ensure that national commitments to improved investments in mental healthcare are honoured locally.</w:t>
      </w:r>
    </w:p>
    <w:p w:rsidR="007E3BA0" w:rsidRPr="00D91E5F" w:rsidRDefault="007E3BA0" w:rsidP="00D91E5F">
      <w:pPr>
        <w:spacing w:before="100" w:beforeAutospacing="1"/>
        <w:jc w:val="both"/>
        <w:rPr>
          <w:sz w:val="22"/>
          <w:szCs w:val="22"/>
        </w:rPr>
      </w:pPr>
      <w:proofErr w:type="spellStart"/>
      <w:r w:rsidRPr="00D91E5F">
        <w:rPr>
          <w:rFonts w:ascii="Segoe UI" w:hAnsi="Segoe UI" w:cs="Segoe UI"/>
          <w:sz w:val="22"/>
          <w:szCs w:val="22"/>
          <w:lang w:val="en-US"/>
        </w:rPr>
        <w:t>DToCs</w:t>
      </w:r>
      <w:proofErr w:type="spellEnd"/>
      <w:r w:rsidRPr="00D91E5F">
        <w:rPr>
          <w:rFonts w:ascii="Segoe UI" w:hAnsi="Segoe UI" w:cs="Segoe UI"/>
          <w:sz w:val="22"/>
          <w:szCs w:val="22"/>
          <w:lang w:val="en-US"/>
        </w:rPr>
        <w:t xml:space="preserve"> remain a challenge across the system, with a significant detrimental effect on community hospitals. The system has implemented a range of initiatives designed to mitigate the impact of this, but we remain concerned. However, I previously reported that we had made additional proposals to improve this situation to system partners and as a result, </w:t>
      </w:r>
      <w:r w:rsidRPr="00D91E5F">
        <w:rPr>
          <w:rFonts w:ascii="Segoe UI" w:hAnsi="Segoe UI" w:cs="Segoe UI"/>
          <w:sz w:val="22"/>
          <w:szCs w:val="22"/>
        </w:rPr>
        <w:t xml:space="preserve">it has been agreed that Oxford Health will now provide the community </w:t>
      </w:r>
      <w:proofErr w:type="spellStart"/>
      <w:r w:rsidRPr="00D91E5F">
        <w:rPr>
          <w:rFonts w:ascii="Segoe UI" w:hAnsi="Segoe UI" w:cs="Segoe UI"/>
          <w:sz w:val="22"/>
          <w:szCs w:val="22"/>
        </w:rPr>
        <w:t>reablement</w:t>
      </w:r>
      <w:proofErr w:type="spellEnd"/>
      <w:r w:rsidRPr="00D91E5F">
        <w:rPr>
          <w:rFonts w:ascii="Segoe UI" w:hAnsi="Segoe UI" w:cs="Segoe UI"/>
          <w:sz w:val="22"/>
          <w:szCs w:val="22"/>
        </w:rPr>
        <w:t xml:space="preserve"> pathway (as opposed to the hospital </w:t>
      </w:r>
      <w:proofErr w:type="spellStart"/>
      <w:r w:rsidRPr="00D91E5F">
        <w:rPr>
          <w:rFonts w:ascii="Segoe UI" w:hAnsi="Segoe UI" w:cs="Segoe UI"/>
          <w:sz w:val="22"/>
          <w:szCs w:val="22"/>
        </w:rPr>
        <w:t>reablement</w:t>
      </w:r>
      <w:proofErr w:type="spellEnd"/>
      <w:r w:rsidRPr="00D91E5F">
        <w:rPr>
          <w:rFonts w:ascii="Segoe UI" w:hAnsi="Segoe UI" w:cs="Segoe UI"/>
          <w:sz w:val="22"/>
          <w:szCs w:val="22"/>
        </w:rPr>
        <w:t xml:space="preserve"> pathway) until the end of this financial year.  This will release capacity in the HART </w:t>
      </w:r>
      <w:r w:rsidRPr="00D91E5F">
        <w:rPr>
          <w:rFonts w:ascii="Segoe UI" w:hAnsi="Segoe UI" w:cs="Segoe UI"/>
          <w:sz w:val="22"/>
          <w:szCs w:val="22"/>
        </w:rPr>
        <w:lastRenderedPageBreak/>
        <w:t>service to enable it to meet its contractual obligations.  In addition, OCC has commissioned a new ‘contingency hours’ contract in order to reduce the number of patients in HART who are waiting for on-going domiciliary care.  Finally, we are in the process of concluding a new ‘rehabilitation pathway’ to be piloted in two community hospitals which, if successful, will take us significantly further forward towards our vision of a ‘zero waits’ pathway.</w:t>
      </w:r>
    </w:p>
    <w:p w:rsidR="007E3BA0" w:rsidRPr="00D91E5F" w:rsidRDefault="007E3BA0" w:rsidP="00D91E5F">
      <w:pPr>
        <w:spacing w:after="0"/>
        <w:jc w:val="both"/>
        <w:rPr>
          <w:rFonts w:ascii="Segoe UI" w:hAnsi="Segoe UI" w:cs="Segoe UI"/>
          <w:sz w:val="22"/>
          <w:szCs w:val="22"/>
          <w:lang w:eastAsia="en-GB"/>
        </w:rPr>
      </w:pPr>
      <w:r w:rsidRPr="00D91E5F">
        <w:rPr>
          <w:rFonts w:ascii="Segoe UI" w:hAnsi="Segoe UI" w:cs="Segoe UI"/>
          <w:sz w:val="22"/>
          <w:szCs w:val="22"/>
          <w:lang w:eastAsia="en-GB"/>
        </w:rPr>
        <w:t>We remain in discussion with the Oxfordshire HOSC about proposals (on a temporary basis) to consolidate stroke rehabilitation in community hospital beds at Abingdon Hospital, to improve outcome and make the best use of availability therapy time. No community hospital beds would be closed as a result of this measure; beds currently used for stroke rehabilitation at Witney Hospital will remain open as general community hospital beds, and arrangements will be made to ensure that relatives are supported to visit patients as part of their rehabilitation.</w:t>
      </w:r>
    </w:p>
    <w:p w:rsidR="007E3BA0" w:rsidRPr="00F80ACF" w:rsidRDefault="007E3BA0" w:rsidP="00D91E5F">
      <w:pPr>
        <w:numPr>
          <w:ilvl w:val="0"/>
          <w:numId w:val="23"/>
        </w:numPr>
        <w:spacing w:before="100" w:beforeAutospacing="1" w:after="0"/>
        <w:jc w:val="both"/>
        <w:rPr>
          <w:rFonts w:ascii="Calibri" w:hAnsi="Calibri"/>
          <w:sz w:val="22"/>
          <w:szCs w:val="22"/>
        </w:rPr>
      </w:pPr>
      <w:r w:rsidRPr="00D91E5F">
        <w:rPr>
          <w:rFonts w:ascii="Segoe UI" w:hAnsi="Segoe UI" w:cs="Segoe UI"/>
          <w:b/>
          <w:bCs/>
          <w:sz w:val="22"/>
          <w:szCs w:val="22"/>
        </w:rPr>
        <w:t xml:space="preserve">Workforce: Nurse Recruitment and Retention </w:t>
      </w:r>
    </w:p>
    <w:p w:rsidR="00F80ACF" w:rsidRDefault="00F80ACF" w:rsidP="00F80ACF">
      <w:pPr>
        <w:spacing w:after="0"/>
        <w:jc w:val="both"/>
        <w:rPr>
          <w:rFonts w:ascii="Segoe UI" w:hAnsi="Segoe UI" w:cs="Segoe UI"/>
          <w:sz w:val="22"/>
          <w:szCs w:val="22"/>
        </w:rPr>
      </w:pPr>
    </w:p>
    <w:p w:rsidR="007E3BA0" w:rsidRPr="00D91E5F" w:rsidRDefault="007E3BA0" w:rsidP="00D91E5F">
      <w:pPr>
        <w:jc w:val="both"/>
        <w:rPr>
          <w:rFonts w:eastAsiaTheme="minorHAnsi"/>
          <w:sz w:val="22"/>
          <w:szCs w:val="22"/>
        </w:rPr>
      </w:pPr>
      <w:r w:rsidRPr="00D91E5F">
        <w:rPr>
          <w:rFonts w:ascii="Segoe UI" w:hAnsi="Segoe UI" w:cs="Segoe UI"/>
          <w:sz w:val="22"/>
          <w:szCs w:val="22"/>
        </w:rPr>
        <w:t>The monthly meeting of the taskforce to bring additional focus and impetus to this important area for the Trust and its services has continued with a strong focus on recruitment and retention of staff.  At the last meeting in October the actions agreed were:</w:t>
      </w:r>
    </w:p>
    <w:p w:rsidR="007E3BA0" w:rsidRPr="00D91E5F" w:rsidRDefault="007E3BA0" w:rsidP="00D91E5F">
      <w:pPr>
        <w:numPr>
          <w:ilvl w:val="0"/>
          <w:numId w:val="24"/>
        </w:numPr>
        <w:jc w:val="both"/>
        <w:rPr>
          <w:sz w:val="22"/>
          <w:szCs w:val="22"/>
        </w:rPr>
      </w:pPr>
      <w:r w:rsidRPr="00D91E5F">
        <w:rPr>
          <w:rFonts w:ascii="Segoe UI" w:hAnsi="Segoe UI" w:cs="Segoe UI"/>
          <w:sz w:val="22"/>
          <w:szCs w:val="22"/>
        </w:rPr>
        <w:t>To create a central advertising and recruitment budget to ensure the recruitment team are empowered to make tactical decisions about paid for or free advertising mechanisms.</w:t>
      </w:r>
    </w:p>
    <w:p w:rsidR="007E3BA0" w:rsidRPr="00D91E5F" w:rsidRDefault="007E3BA0" w:rsidP="00D91E5F">
      <w:pPr>
        <w:numPr>
          <w:ilvl w:val="0"/>
          <w:numId w:val="24"/>
        </w:numPr>
        <w:jc w:val="both"/>
        <w:rPr>
          <w:sz w:val="22"/>
          <w:szCs w:val="22"/>
        </w:rPr>
      </w:pPr>
      <w:r w:rsidRPr="00D91E5F">
        <w:rPr>
          <w:rFonts w:ascii="Segoe UI" w:hAnsi="Segoe UI" w:cs="Segoe UI"/>
          <w:sz w:val="22"/>
          <w:szCs w:val="22"/>
        </w:rPr>
        <w:t>To create a specialist Communications and Engagement post to give leadership and energy to the Trust’s communications programme about its large number of vacancies, career opportunities and changes being made to improve both retention and recruitment.</w:t>
      </w:r>
    </w:p>
    <w:p w:rsidR="007E3BA0" w:rsidRPr="00D91E5F" w:rsidRDefault="007E3BA0" w:rsidP="00D91E5F">
      <w:pPr>
        <w:numPr>
          <w:ilvl w:val="0"/>
          <w:numId w:val="24"/>
        </w:numPr>
        <w:jc w:val="both"/>
        <w:rPr>
          <w:sz w:val="22"/>
          <w:szCs w:val="22"/>
        </w:rPr>
      </w:pPr>
      <w:r w:rsidRPr="00D91E5F">
        <w:rPr>
          <w:rFonts w:ascii="Segoe UI" w:hAnsi="Segoe UI" w:cs="Segoe UI"/>
          <w:sz w:val="22"/>
          <w:szCs w:val="22"/>
        </w:rPr>
        <w:t>To further examine the opportunity to radically reduce the use of agency staff for Healthcare Assistants at Band 2 and 3 – a tactic successfully deployed by our neighbours in Berkshire Healthcare Trust.</w:t>
      </w:r>
    </w:p>
    <w:p w:rsidR="007E3BA0" w:rsidRPr="00D91E5F" w:rsidRDefault="007E3BA0" w:rsidP="00D91E5F">
      <w:pPr>
        <w:numPr>
          <w:ilvl w:val="0"/>
          <w:numId w:val="24"/>
        </w:numPr>
        <w:jc w:val="both"/>
        <w:rPr>
          <w:sz w:val="22"/>
          <w:szCs w:val="22"/>
        </w:rPr>
      </w:pPr>
      <w:r w:rsidRPr="00D91E5F">
        <w:rPr>
          <w:rFonts w:ascii="Segoe UI" w:hAnsi="Segoe UI" w:cs="Segoe UI"/>
          <w:sz w:val="22"/>
          <w:szCs w:val="22"/>
        </w:rPr>
        <w:t>To work with one or two agencies in sourcing permanent staff, as a pilot programme.</w:t>
      </w:r>
    </w:p>
    <w:p w:rsidR="007E3BA0" w:rsidRPr="00D91E5F" w:rsidRDefault="007E3BA0" w:rsidP="00D91E5F">
      <w:pPr>
        <w:numPr>
          <w:ilvl w:val="0"/>
          <w:numId w:val="24"/>
        </w:numPr>
        <w:jc w:val="both"/>
        <w:rPr>
          <w:sz w:val="22"/>
          <w:szCs w:val="22"/>
        </w:rPr>
      </w:pPr>
      <w:r w:rsidRPr="00D91E5F">
        <w:rPr>
          <w:rFonts w:ascii="Segoe UI" w:hAnsi="Segoe UI" w:cs="Segoe UI"/>
          <w:sz w:val="22"/>
          <w:szCs w:val="22"/>
        </w:rPr>
        <w:t>To identify a Programme</w:t>
      </w:r>
      <w:bookmarkStart w:id="0" w:name="_GoBack"/>
      <w:bookmarkEnd w:id="0"/>
      <w:r w:rsidRPr="00D91E5F">
        <w:rPr>
          <w:rFonts w:ascii="Segoe UI" w:hAnsi="Segoe UI" w:cs="Segoe UI"/>
          <w:sz w:val="22"/>
          <w:szCs w:val="22"/>
        </w:rPr>
        <w:t xml:space="preserve"> Manager to support the HRD in coordinating the activities and in particular the reporting both internally and externally.</w:t>
      </w:r>
    </w:p>
    <w:p w:rsidR="007E3BA0" w:rsidRPr="00D91E5F" w:rsidRDefault="007E3BA0" w:rsidP="00D91E5F">
      <w:pPr>
        <w:numPr>
          <w:ilvl w:val="0"/>
          <w:numId w:val="24"/>
        </w:numPr>
        <w:jc w:val="both"/>
        <w:rPr>
          <w:sz w:val="22"/>
          <w:szCs w:val="22"/>
        </w:rPr>
      </w:pPr>
      <w:r w:rsidRPr="00D91E5F">
        <w:rPr>
          <w:rFonts w:ascii="Segoe UI" w:hAnsi="Segoe UI" w:cs="Segoe UI"/>
          <w:sz w:val="22"/>
          <w:szCs w:val="22"/>
        </w:rPr>
        <w:t>To ensure that our training courses are available as flexibly as possible, including online, particularly for people who want to work on our Bank and struggle to attend courses which run Monday to Friday and 9 to 5. We are also offering courses to candidates who are awaiting clearances or references, to speed up the wider on-boarding process.</w:t>
      </w:r>
    </w:p>
    <w:p w:rsidR="007E3BA0" w:rsidRPr="00D91E5F" w:rsidRDefault="007E3BA0" w:rsidP="00D91E5F">
      <w:pPr>
        <w:numPr>
          <w:ilvl w:val="0"/>
          <w:numId w:val="23"/>
        </w:numPr>
        <w:spacing w:before="100" w:beforeAutospacing="1"/>
        <w:jc w:val="both"/>
        <w:rPr>
          <w:sz w:val="22"/>
          <w:szCs w:val="22"/>
        </w:rPr>
      </w:pPr>
      <w:r w:rsidRPr="00D91E5F">
        <w:rPr>
          <w:rFonts w:ascii="Segoe UI" w:hAnsi="Segoe UI" w:cs="Segoe UI"/>
          <w:b/>
          <w:bCs/>
          <w:sz w:val="22"/>
          <w:szCs w:val="22"/>
        </w:rPr>
        <w:lastRenderedPageBreak/>
        <w:t>Academic Health Science Network (AHSN)</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tab/>
      </w:r>
      <w:r w:rsidRPr="00D91E5F">
        <w:rPr>
          <w:rFonts w:ascii="Segoe UI" w:hAnsi="Segoe UI" w:cs="Segoe UI"/>
          <w:sz w:val="22"/>
          <w:szCs w:val="22"/>
        </w:rPr>
        <w:t>An update with regard to the AHSN is provided below:</w:t>
      </w:r>
    </w:p>
    <w:p w:rsidR="007E3BA0" w:rsidRPr="00D91E5F" w:rsidRDefault="007E3BA0" w:rsidP="00D91E5F">
      <w:pPr>
        <w:numPr>
          <w:ilvl w:val="0"/>
          <w:numId w:val="25"/>
        </w:numPr>
        <w:rPr>
          <w:rFonts w:eastAsiaTheme="minorHAnsi"/>
          <w:sz w:val="22"/>
          <w:szCs w:val="22"/>
        </w:rPr>
      </w:pPr>
      <w:r w:rsidRPr="00D91E5F">
        <w:rPr>
          <w:rFonts w:ascii="Segoe UI" w:hAnsi="Segoe UI" w:cs="Segoe UI"/>
          <w:sz w:val="22"/>
          <w:szCs w:val="22"/>
        </w:rPr>
        <w:t xml:space="preserve">The latest quarterly update report from the Oxford AHSN has been published. It covers the three months to the end of September. </w:t>
      </w:r>
      <w:hyperlink r:id="rId11" w:history="1">
        <w:r w:rsidRPr="00D91E5F">
          <w:rPr>
            <w:rStyle w:val="Hyperlink"/>
            <w:rFonts w:ascii="Segoe UI" w:hAnsi="Segoe UI" w:cs="Segoe UI"/>
            <w:sz w:val="22"/>
            <w:szCs w:val="22"/>
          </w:rPr>
          <w:t>http://www.oxfordahsn.org/wp-content/uploads/2017/10/171005_Year-5-Q2-Oxford-AHSN-FINAL.pdf</w:t>
        </w:r>
      </w:hyperlink>
      <w:r w:rsidRPr="00D91E5F">
        <w:rPr>
          <w:rFonts w:ascii="Segoe UI" w:hAnsi="Segoe UI" w:cs="Segoe UI"/>
          <w:sz w:val="22"/>
          <w:szCs w:val="22"/>
        </w:rPr>
        <w:t xml:space="preserve">  </w:t>
      </w:r>
    </w:p>
    <w:p w:rsidR="007E3BA0" w:rsidRPr="00D91E5F" w:rsidRDefault="007E3BA0" w:rsidP="00D91E5F">
      <w:pPr>
        <w:numPr>
          <w:ilvl w:val="0"/>
          <w:numId w:val="25"/>
        </w:numPr>
        <w:rPr>
          <w:rFonts w:eastAsiaTheme="minorHAnsi"/>
          <w:sz w:val="22"/>
          <w:szCs w:val="22"/>
        </w:rPr>
      </w:pPr>
      <w:r w:rsidRPr="00D91E5F">
        <w:rPr>
          <w:rFonts w:ascii="Segoe UI" w:hAnsi="Segoe UI" w:cs="Segoe UI"/>
          <w:sz w:val="22"/>
          <w:szCs w:val="22"/>
        </w:rPr>
        <w:t xml:space="preserve">The Oxford AHSN, Oxford Health, Health Education England and other partners have produced an e-learning package to help reduce catheter-acquired urinary tract infections. More details here: </w:t>
      </w:r>
      <w:hyperlink r:id="rId12" w:history="1">
        <w:r w:rsidRPr="00D91E5F">
          <w:rPr>
            <w:rStyle w:val="Hyperlink"/>
            <w:rFonts w:ascii="Segoe UI" w:hAnsi="Segoe UI" w:cs="Segoe UI"/>
            <w:sz w:val="22"/>
            <w:szCs w:val="22"/>
          </w:rPr>
          <w:t>https://www.e-lfh.org.uk/programmes/continence-and-catheter-care/</w:t>
        </w:r>
      </w:hyperlink>
      <w:r w:rsidRPr="00D91E5F">
        <w:rPr>
          <w:rFonts w:ascii="Segoe UI" w:hAnsi="Segoe UI" w:cs="Segoe UI"/>
          <w:sz w:val="22"/>
          <w:szCs w:val="22"/>
        </w:rPr>
        <w:t xml:space="preserve"> This builds on issues highlighted at the Oxford AHSN/Oxford Health partner showcase event last May – more here: </w:t>
      </w:r>
      <w:hyperlink r:id="rId13" w:history="1">
        <w:r w:rsidRPr="00D91E5F">
          <w:rPr>
            <w:rStyle w:val="Hyperlink"/>
            <w:rFonts w:ascii="Segoe UI" w:hAnsi="Segoe UI" w:cs="Segoe UI"/>
            <w:sz w:val="22"/>
            <w:szCs w:val="22"/>
          </w:rPr>
          <w:t>http://www.oxfordahsn.org/our-work/corporate-activities/partner-showcases-2017/innovation-and-impact-partner-showcase-oxford-unipart-18-may-2017/</w:t>
        </w:r>
      </w:hyperlink>
      <w:r w:rsidRPr="00D91E5F">
        <w:rPr>
          <w:rFonts w:ascii="Segoe UI" w:hAnsi="Segoe UI" w:cs="Segoe UI"/>
          <w:sz w:val="22"/>
          <w:szCs w:val="22"/>
        </w:rPr>
        <w:t xml:space="preserve">  </w:t>
      </w:r>
    </w:p>
    <w:p w:rsidR="007E3BA0" w:rsidRPr="00D91E5F" w:rsidRDefault="007E3BA0" w:rsidP="00D91E5F">
      <w:pPr>
        <w:numPr>
          <w:ilvl w:val="0"/>
          <w:numId w:val="25"/>
        </w:numPr>
        <w:rPr>
          <w:rFonts w:eastAsiaTheme="minorHAnsi"/>
          <w:sz w:val="22"/>
          <w:szCs w:val="22"/>
        </w:rPr>
      </w:pPr>
      <w:r w:rsidRPr="00D91E5F">
        <w:rPr>
          <w:rFonts w:ascii="Segoe UI" w:hAnsi="Segoe UI" w:cs="Segoe UI"/>
          <w:sz w:val="22"/>
          <w:szCs w:val="22"/>
        </w:rPr>
        <w:t xml:space="preserve">A health and wellbeing partnership involving Oxford Health, Johnson &amp; Johnson/Janssen, the NIHR Oxford CLAHRC and others was one of three collaborations shortlisted for the 2017 Oxford AHSN Best Public-Private Collaboration. More details here: </w:t>
      </w:r>
      <w:hyperlink r:id="rId14" w:history="1">
        <w:r w:rsidRPr="00D91E5F">
          <w:rPr>
            <w:rStyle w:val="Hyperlink"/>
            <w:rFonts w:ascii="Segoe UI" w:hAnsi="Segoe UI" w:cs="Segoe UI"/>
            <w:sz w:val="22"/>
            <w:szCs w:val="22"/>
          </w:rPr>
          <w:t>http://www.oxfordahsn.org/news-and-events/news/digital-health-partnership-wins-oxford-ahsn-award/</w:t>
        </w:r>
      </w:hyperlink>
      <w:r w:rsidRPr="00D91E5F">
        <w:rPr>
          <w:rFonts w:ascii="Segoe UI" w:hAnsi="Segoe UI" w:cs="Segoe UI"/>
          <w:sz w:val="22"/>
          <w:szCs w:val="22"/>
        </w:rPr>
        <w:t xml:space="preserve">  </w:t>
      </w:r>
    </w:p>
    <w:p w:rsidR="007E3BA0" w:rsidRPr="00D91E5F" w:rsidRDefault="007E3BA0" w:rsidP="00D91E5F">
      <w:pPr>
        <w:numPr>
          <w:ilvl w:val="0"/>
          <w:numId w:val="25"/>
        </w:numPr>
        <w:rPr>
          <w:rFonts w:eastAsiaTheme="minorHAnsi"/>
          <w:sz w:val="22"/>
          <w:szCs w:val="22"/>
        </w:rPr>
      </w:pPr>
      <w:r w:rsidRPr="00D91E5F">
        <w:rPr>
          <w:rFonts w:ascii="Segoe UI" w:hAnsi="Segoe UI" w:cs="Segoe UI"/>
          <w:sz w:val="22"/>
          <w:szCs w:val="22"/>
        </w:rPr>
        <w:t>A total of 64 people applied to join the new Oxford AHSN Q community to improve healthcare before the 11 September deadline. Successful applicants should be notified in November. </w:t>
      </w:r>
    </w:p>
    <w:p w:rsidR="007E3BA0" w:rsidRPr="00D91E5F" w:rsidRDefault="007E3BA0" w:rsidP="00D91E5F">
      <w:pPr>
        <w:numPr>
          <w:ilvl w:val="0"/>
          <w:numId w:val="25"/>
        </w:numPr>
        <w:rPr>
          <w:rFonts w:eastAsiaTheme="minorHAnsi"/>
          <w:sz w:val="22"/>
          <w:szCs w:val="22"/>
        </w:rPr>
      </w:pPr>
      <w:r w:rsidRPr="00D91E5F">
        <w:rPr>
          <w:rFonts w:ascii="Segoe UI" w:hAnsi="Segoe UI" w:cs="Segoe UI"/>
          <w:sz w:val="22"/>
          <w:szCs w:val="22"/>
        </w:rPr>
        <w:t xml:space="preserve">The Oxford AHSN has produced a report on digital maturity with the Academy of Medical Sciences. More details here: </w:t>
      </w:r>
      <w:hyperlink r:id="rId15" w:history="1">
        <w:r w:rsidRPr="00D91E5F">
          <w:rPr>
            <w:rStyle w:val="Hyperlink"/>
            <w:rFonts w:ascii="Segoe UI" w:hAnsi="Segoe UI" w:cs="Segoe UI"/>
            <w:sz w:val="22"/>
            <w:szCs w:val="22"/>
          </w:rPr>
          <w:t>https://acmedsci.ac.uk/more/news/digital-maturity-of-local-health-and-social-care-systems</w:t>
        </w:r>
      </w:hyperlink>
      <w:r w:rsidRPr="00D91E5F">
        <w:rPr>
          <w:rFonts w:ascii="Segoe UI" w:hAnsi="Segoe UI" w:cs="Segoe UI"/>
          <w:sz w:val="22"/>
          <w:szCs w:val="22"/>
        </w:rPr>
        <w:t xml:space="preserve">  </w:t>
      </w:r>
    </w:p>
    <w:p w:rsidR="007E3BA0" w:rsidRPr="00D91E5F" w:rsidRDefault="007E3BA0" w:rsidP="00D91E5F">
      <w:pPr>
        <w:numPr>
          <w:ilvl w:val="0"/>
          <w:numId w:val="25"/>
        </w:numPr>
        <w:rPr>
          <w:rFonts w:eastAsiaTheme="minorHAnsi"/>
          <w:sz w:val="22"/>
          <w:szCs w:val="22"/>
        </w:rPr>
      </w:pPr>
      <w:r w:rsidRPr="00D91E5F">
        <w:rPr>
          <w:rFonts w:ascii="Segoe UI" w:hAnsi="Segoe UI" w:cs="Segoe UI"/>
          <w:sz w:val="22"/>
          <w:szCs w:val="22"/>
        </w:rPr>
        <w:t xml:space="preserve">Oxford AHSN Chief Executive Prof Gary Ford CBE has been appointed Vice Chair of the national AHSN Network. More details here: </w:t>
      </w:r>
      <w:hyperlink r:id="rId16" w:history="1">
        <w:r w:rsidRPr="00D91E5F">
          <w:rPr>
            <w:rStyle w:val="Hyperlink"/>
            <w:rFonts w:ascii="Segoe UI" w:hAnsi="Segoe UI" w:cs="Segoe UI"/>
            <w:sz w:val="22"/>
            <w:szCs w:val="22"/>
          </w:rPr>
          <w:t>http://www.oxfordahsn.org/news-and-events/news/professor-gary-ford-appointed-vice-chair-of-ahsn-network/</w:t>
        </w:r>
      </w:hyperlink>
      <w:r w:rsidRPr="00D91E5F">
        <w:rPr>
          <w:rFonts w:ascii="Segoe UI" w:hAnsi="Segoe UI" w:cs="Segoe UI"/>
          <w:sz w:val="22"/>
          <w:szCs w:val="22"/>
        </w:rPr>
        <w:t xml:space="preserve"> </w:t>
      </w:r>
      <w:r w:rsidRPr="00D91E5F">
        <w:rPr>
          <w:sz w:val="22"/>
          <w:szCs w:val="22"/>
        </w:rPr>
        <w:t> </w:t>
      </w:r>
    </w:p>
    <w:p w:rsidR="007E3BA0" w:rsidRPr="00D91E5F" w:rsidRDefault="007E3BA0" w:rsidP="00D91E5F">
      <w:pPr>
        <w:numPr>
          <w:ilvl w:val="0"/>
          <w:numId w:val="23"/>
        </w:numPr>
        <w:spacing w:before="100" w:beforeAutospacing="1"/>
        <w:jc w:val="both"/>
        <w:rPr>
          <w:sz w:val="22"/>
          <w:szCs w:val="22"/>
        </w:rPr>
      </w:pPr>
      <w:r w:rsidRPr="00D91E5F">
        <w:rPr>
          <w:rFonts w:ascii="Segoe UI" w:hAnsi="Segoe UI" w:cs="Segoe UI"/>
          <w:b/>
          <w:bCs/>
          <w:sz w:val="22"/>
          <w:szCs w:val="22"/>
        </w:rPr>
        <w:t>National and Regional issues</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t xml:space="preserve">A helpful digest of national and legal issues and guidance emerging since the last report is routinely attached as an appendix.  Other key developments worthy of particular reference are as included below.  </w:t>
      </w:r>
    </w:p>
    <w:p w:rsidR="007E3BA0" w:rsidRPr="00D91E5F" w:rsidRDefault="007E3BA0" w:rsidP="00D91E5F">
      <w:pPr>
        <w:numPr>
          <w:ilvl w:val="1"/>
          <w:numId w:val="23"/>
        </w:numPr>
        <w:spacing w:before="100" w:beforeAutospacing="1"/>
        <w:rPr>
          <w:sz w:val="22"/>
          <w:szCs w:val="22"/>
        </w:rPr>
      </w:pPr>
      <w:r w:rsidRPr="00D91E5F">
        <w:rPr>
          <w:rFonts w:ascii="Segoe UI" w:hAnsi="Segoe UI" w:cs="Segoe UI"/>
          <w:b/>
          <w:bCs/>
          <w:sz w:val="22"/>
          <w:szCs w:val="22"/>
        </w:rPr>
        <w:lastRenderedPageBreak/>
        <w:t>National Speak Up Guardian</w:t>
      </w:r>
    </w:p>
    <w:p w:rsidR="007E3BA0" w:rsidRPr="00D91E5F" w:rsidRDefault="007E3BA0" w:rsidP="00D91E5F">
      <w:pPr>
        <w:spacing w:before="100" w:beforeAutospacing="1"/>
        <w:jc w:val="both"/>
        <w:rPr>
          <w:rFonts w:ascii="Segoe UI" w:hAnsi="Segoe UI" w:cs="Segoe UI"/>
          <w:sz w:val="22"/>
          <w:szCs w:val="22"/>
        </w:rPr>
      </w:pPr>
      <w:r w:rsidRPr="00D91E5F">
        <w:rPr>
          <w:rFonts w:ascii="Segoe UI" w:hAnsi="Segoe UI" w:cs="Segoe UI"/>
          <w:sz w:val="22"/>
          <w:szCs w:val="22"/>
        </w:rPr>
        <w:t xml:space="preserve">The National Speak </w:t>
      </w:r>
      <w:proofErr w:type="gramStart"/>
      <w:r w:rsidRPr="00D91E5F">
        <w:rPr>
          <w:rFonts w:ascii="Segoe UI" w:hAnsi="Segoe UI" w:cs="Segoe UI"/>
          <w:sz w:val="22"/>
          <w:szCs w:val="22"/>
        </w:rPr>
        <w:t>Up</w:t>
      </w:r>
      <w:proofErr w:type="gramEnd"/>
      <w:r w:rsidRPr="00D91E5F">
        <w:rPr>
          <w:rFonts w:ascii="Segoe UI" w:hAnsi="Segoe UI" w:cs="Segoe UI"/>
          <w:sz w:val="22"/>
          <w:szCs w:val="22"/>
        </w:rPr>
        <w:t xml:space="preserve"> Guardian, Dr Henrietta Hughes wrote to all Trusts recently to publish a set of recommendations based on the findings of the first Freedom to Speak Up Guardian survey </w:t>
      </w:r>
      <w:r w:rsidRPr="00D91E5F">
        <w:rPr>
          <w:rFonts w:ascii="Segoe UI" w:hAnsi="Segoe UI" w:cs="Segoe UI"/>
          <w:sz w:val="22"/>
          <w:szCs w:val="22"/>
        </w:rPr>
        <w:t xml:space="preserve">– </w:t>
      </w:r>
    </w:p>
    <w:p w:rsidR="007E3BA0" w:rsidRPr="00D91E5F" w:rsidRDefault="007E3BA0" w:rsidP="00D91E5F">
      <w:pPr>
        <w:spacing w:before="100" w:beforeAutospacing="1"/>
        <w:jc w:val="both"/>
        <w:rPr>
          <w:rFonts w:ascii="Segoe UI" w:hAnsi="Segoe UI" w:cs="Segoe UI"/>
          <w:sz w:val="22"/>
          <w:szCs w:val="22"/>
        </w:rPr>
      </w:pPr>
      <w:hyperlink r:id="rId17" w:history="1">
        <w:r w:rsidRPr="00D91E5F">
          <w:rPr>
            <w:rStyle w:val="Hyperlink"/>
            <w:rFonts w:ascii="Segoe UI" w:hAnsi="Segoe UI" w:cs="Segoe UI"/>
            <w:sz w:val="22"/>
            <w:szCs w:val="22"/>
          </w:rPr>
          <w:t>www.cqc.org.uk/sites/default/files/20170915_freedom_to_speak_up_guardian_survey2017.pdf</w:t>
        </w:r>
      </w:hyperlink>
      <w:r w:rsidRPr="00D91E5F">
        <w:rPr>
          <w:rFonts w:ascii="Segoe UI" w:hAnsi="Segoe UI" w:cs="Segoe UI"/>
          <w:sz w:val="22"/>
          <w:szCs w:val="22"/>
        </w:rPr>
        <w:t xml:space="preserve"> </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 xml:space="preserve">The survey shows that great strides are being made in speaking up but the picture is not consistent and there is still more to be done. Dr Hughes is looking to Trusts to ensure these recommendations help improve the consistency and quality of support for speaking up in all NHS trusts and foundation trusts.  The recommendations for the role include: </w:t>
      </w:r>
    </w:p>
    <w:p w:rsidR="007E3BA0" w:rsidRPr="00D91E5F" w:rsidRDefault="007E3BA0" w:rsidP="00D91E5F">
      <w:pPr>
        <w:numPr>
          <w:ilvl w:val="0"/>
          <w:numId w:val="26"/>
        </w:numPr>
        <w:spacing w:before="100" w:beforeAutospacing="1"/>
        <w:jc w:val="both"/>
        <w:rPr>
          <w:sz w:val="22"/>
          <w:szCs w:val="22"/>
        </w:rPr>
      </w:pPr>
      <w:r w:rsidRPr="00D91E5F">
        <w:rPr>
          <w:rFonts w:ascii="Segoe UI" w:hAnsi="Segoe UI" w:cs="Segoe UI"/>
          <w:sz w:val="22"/>
          <w:szCs w:val="22"/>
        </w:rPr>
        <w:t>ring-fenced time to enable guardians properly to meet the needs of workers</w:t>
      </w:r>
    </w:p>
    <w:p w:rsidR="007E3BA0" w:rsidRPr="00D91E5F" w:rsidRDefault="007E3BA0" w:rsidP="00D91E5F">
      <w:pPr>
        <w:numPr>
          <w:ilvl w:val="0"/>
          <w:numId w:val="26"/>
        </w:numPr>
        <w:spacing w:before="100" w:beforeAutospacing="1"/>
        <w:ind w:left="714" w:hanging="357"/>
        <w:jc w:val="both"/>
        <w:rPr>
          <w:rFonts w:eastAsiaTheme="minorHAnsi"/>
          <w:sz w:val="22"/>
          <w:szCs w:val="22"/>
        </w:rPr>
      </w:pPr>
      <w:r w:rsidRPr="00D91E5F">
        <w:rPr>
          <w:rFonts w:ascii="Segoe UI" w:hAnsi="Segoe UI" w:cs="Segoe UI"/>
          <w:sz w:val="22"/>
          <w:szCs w:val="22"/>
        </w:rPr>
        <w:t>all workers, particularly the most vulnerable, should have effective routes to enable them to speak up</w:t>
      </w:r>
    </w:p>
    <w:p w:rsidR="007E3BA0" w:rsidRPr="00D91E5F" w:rsidRDefault="007E3BA0" w:rsidP="00D91E5F">
      <w:pPr>
        <w:numPr>
          <w:ilvl w:val="0"/>
          <w:numId w:val="26"/>
        </w:numPr>
        <w:spacing w:before="100" w:beforeAutospacing="1"/>
        <w:jc w:val="both"/>
        <w:rPr>
          <w:sz w:val="22"/>
          <w:szCs w:val="22"/>
        </w:rPr>
      </w:pPr>
      <w:r w:rsidRPr="00D91E5F">
        <w:rPr>
          <w:rFonts w:ascii="Segoe UI" w:hAnsi="Segoe UI" w:cs="Segoe UI"/>
          <w:sz w:val="22"/>
          <w:szCs w:val="22"/>
        </w:rPr>
        <w:t>Boards need to hear regularly from their guardian, in person.</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t>Much work has been done in OH to embrace this role so many of the recommendations won’t necessarily affect us, but our Guardian will review each of them to ensure implementation of any improvement activity.  It is pertinent to articulate that Mike has announced his retirement in the next 6 months and although he will be attending the October Board to present his latest update, I will take the opportunity to thank him more formally for his significant contribution to the success of this role nearer the time.</w:t>
      </w:r>
    </w:p>
    <w:p w:rsidR="007E3BA0" w:rsidRPr="00D91E5F" w:rsidRDefault="007E3BA0" w:rsidP="00D91E5F">
      <w:pPr>
        <w:numPr>
          <w:ilvl w:val="1"/>
          <w:numId w:val="23"/>
        </w:numPr>
        <w:spacing w:before="100" w:beforeAutospacing="1"/>
        <w:rPr>
          <w:sz w:val="22"/>
          <w:szCs w:val="22"/>
        </w:rPr>
      </w:pPr>
      <w:r w:rsidRPr="00D91E5F">
        <w:rPr>
          <w:rFonts w:ascii="Segoe UI" w:hAnsi="Segoe UI" w:cs="Segoe UI"/>
          <w:b/>
          <w:bCs/>
          <w:sz w:val="22"/>
          <w:szCs w:val="22"/>
          <w:lang w:val="en"/>
        </w:rPr>
        <w:t>Sustainability and Transformation ‘Partnerships’ (STPs) and local transformation</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lang w:val="en"/>
        </w:rPr>
        <w:t xml:space="preserve">STPs nationally are working across a range of different themes/challenges such as moving care closer to home; reconfiguring acute services; </w:t>
      </w:r>
      <w:proofErr w:type="spellStart"/>
      <w:r w:rsidRPr="00D91E5F">
        <w:rPr>
          <w:rFonts w:ascii="Segoe UI" w:hAnsi="Segoe UI" w:cs="Segoe UI"/>
          <w:sz w:val="22"/>
          <w:szCs w:val="22"/>
          <w:lang w:val="en"/>
        </w:rPr>
        <w:t>rationalising</w:t>
      </w:r>
      <w:proofErr w:type="spellEnd"/>
      <w:r w:rsidRPr="00D91E5F">
        <w:rPr>
          <w:rFonts w:ascii="Segoe UI" w:hAnsi="Segoe UI" w:cs="Segoe UI"/>
          <w:sz w:val="22"/>
          <w:szCs w:val="22"/>
          <w:lang w:val="en"/>
        </w:rPr>
        <w:t xml:space="preserve"> and getting the most out of the NHS estate;  workforce strategy; how to put mental health more at the </w:t>
      </w:r>
      <w:proofErr w:type="spellStart"/>
      <w:r w:rsidRPr="00D91E5F">
        <w:rPr>
          <w:rFonts w:ascii="Segoe UI" w:hAnsi="Segoe UI" w:cs="Segoe UI"/>
          <w:sz w:val="22"/>
          <w:szCs w:val="22"/>
          <w:lang w:val="en"/>
        </w:rPr>
        <w:t>centre</w:t>
      </w:r>
      <w:proofErr w:type="spellEnd"/>
      <w:r w:rsidRPr="00D91E5F">
        <w:rPr>
          <w:rFonts w:ascii="Segoe UI" w:hAnsi="Segoe UI" w:cs="Segoe UI"/>
          <w:sz w:val="22"/>
          <w:szCs w:val="22"/>
          <w:lang w:val="en"/>
        </w:rPr>
        <w:t xml:space="preserve"> of STPs and how to make best use of the contribution that specialist and ambulance colleagues can bring. In the Buckinghamshire, Oxfordshire and Berkshire West STP (</w:t>
      </w:r>
      <w:r w:rsidRPr="00D91E5F">
        <w:rPr>
          <w:rFonts w:ascii="Segoe UI" w:hAnsi="Segoe UI" w:cs="Segoe UI"/>
          <w:b/>
          <w:sz w:val="22"/>
          <w:szCs w:val="22"/>
          <w:lang w:val="en"/>
        </w:rPr>
        <w:t>BOB</w:t>
      </w:r>
      <w:r w:rsidRPr="00D91E5F">
        <w:rPr>
          <w:rFonts w:ascii="Segoe UI" w:hAnsi="Segoe UI" w:cs="Segoe UI"/>
          <w:sz w:val="22"/>
          <w:szCs w:val="22"/>
          <w:lang w:val="en"/>
        </w:rPr>
        <w:t>) interviews have taken place for the appointment of a new Lead to take over from David Smith following his retirement in December. An announcement is expected shortly.</w:t>
      </w:r>
    </w:p>
    <w:p w:rsidR="007E3BA0" w:rsidRPr="00D91E5F" w:rsidRDefault="007E3BA0" w:rsidP="00D91E5F">
      <w:pPr>
        <w:spacing w:before="100" w:beforeAutospacing="1"/>
        <w:jc w:val="both"/>
        <w:rPr>
          <w:sz w:val="22"/>
          <w:szCs w:val="22"/>
        </w:rPr>
      </w:pPr>
      <w:r w:rsidRPr="00D91E5F">
        <w:rPr>
          <w:rFonts w:ascii="Segoe UI" w:hAnsi="Segoe UI" w:cs="Segoe UI"/>
          <w:sz w:val="22"/>
          <w:szCs w:val="22"/>
          <w:lang w:val="en"/>
        </w:rPr>
        <w:lastRenderedPageBreak/>
        <w:t xml:space="preserve">As previously highlighted, the Trust is working with the Buckinghamshire system to develop an </w:t>
      </w:r>
      <w:proofErr w:type="gramStart"/>
      <w:r w:rsidRPr="00D91E5F">
        <w:rPr>
          <w:rFonts w:ascii="Segoe UI" w:hAnsi="Segoe UI" w:cs="Segoe UI"/>
          <w:sz w:val="22"/>
          <w:szCs w:val="22"/>
          <w:lang w:val="en"/>
        </w:rPr>
        <w:t>accountable</w:t>
      </w:r>
      <w:proofErr w:type="gramEnd"/>
      <w:r w:rsidRPr="00D91E5F">
        <w:rPr>
          <w:rFonts w:ascii="Segoe UI" w:hAnsi="Segoe UI" w:cs="Segoe UI"/>
          <w:sz w:val="22"/>
          <w:szCs w:val="22"/>
          <w:lang w:val="en"/>
        </w:rPr>
        <w:t xml:space="preserve"> care system (</w:t>
      </w:r>
      <w:r w:rsidRPr="00D91E5F">
        <w:rPr>
          <w:rFonts w:ascii="Segoe UI" w:hAnsi="Segoe UI" w:cs="Segoe UI"/>
          <w:b/>
          <w:sz w:val="22"/>
          <w:szCs w:val="22"/>
          <w:lang w:val="en"/>
        </w:rPr>
        <w:t>ACS</w:t>
      </w:r>
      <w:r w:rsidRPr="00D91E5F">
        <w:rPr>
          <w:rFonts w:ascii="Segoe UI" w:hAnsi="Segoe UI" w:cs="Segoe UI"/>
          <w:sz w:val="22"/>
          <w:szCs w:val="22"/>
          <w:lang w:val="en"/>
        </w:rPr>
        <w:t xml:space="preserve">) in collaboration with GP Federations, the Acute/Community Trust (BHT), the County Council and commissioners.   Work continues to develop at pace.  </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 xml:space="preserve">The Board will continue over the coming months to agree the way forward with the proposed joint enterprise in Oxfordshire with our GP Federation colleagues, focusing on the better coordination of primary care and community services using a neighbourhood and locality framework. </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 xml:space="preserve">With regard to the development of plans for an Oxfordshire ACS, as previously reported, and subsequently shared with the Board, I wrote to the CCG in response to their letter regarding formation of an ACS, and explained how the above and other developments which are characteristic of accountable care systems are already in development in Oxfordshire, and I affirmed both our commitment to the general principles of the accountable care model and our experience to date in putting those principles into practice. The process for the appointment of a new Accountable Officer for Oxfordshire CCG is in train, and interviews will take place at the beginning of November. </w:t>
      </w:r>
      <w:proofErr w:type="spellStart"/>
      <w:r w:rsidRPr="00D91E5F">
        <w:rPr>
          <w:rFonts w:ascii="Segoe UI" w:hAnsi="Segoe UI" w:cs="Segoe UI"/>
          <w:sz w:val="22"/>
          <w:szCs w:val="22"/>
        </w:rPr>
        <w:t>Dr.</w:t>
      </w:r>
      <w:proofErr w:type="spellEnd"/>
      <w:r w:rsidRPr="00D91E5F">
        <w:rPr>
          <w:rFonts w:ascii="Segoe UI" w:hAnsi="Segoe UI" w:cs="Segoe UI"/>
          <w:sz w:val="22"/>
          <w:szCs w:val="22"/>
        </w:rPr>
        <w:t xml:space="preserve"> Kieran </w:t>
      </w:r>
      <w:proofErr w:type="spellStart"/>
      <w:r w:rsidRPr="00D91E5F">
        <w:rPr>
          <w:rFonts w:ascii="Segoe UI" w:hAnsi="Segoe UI" w:cs="Segoe UI"/>
          <w:sz w:val="22"/>
          <w:szCs w:val="22"/>
        </w:rPr>
        <w:t>Collison</w:t>
      </w:r>
      <w:proofErr w:type="spellEnd"/>
      <w:r w:rsidRPr="00D91E5F">
        <w:rPr>
          <w:rFonts w:ascii="Segoe UI" w:hAnsi="Segoe UI" w:cs="Segoe UI"/>
          <w:sz w:val="22"/>
          <w:szCs w:val="22"/>
        </w:rPr>
        <w:t xml:space="preserve"> has been elected as the new Clinical Chair to succeed </w:t>
      </w:r>
      <w:proofErr w:type="spellStart"/>
      <w:r w:rsidRPr="00D91E5F">
        <w:rPr>
          <w:rFonts w:ascii="Segoe UI" w:hAnsi="Segoe UI" w:cs="Segoe UI"/>
          <w:sz w:val="22"/>
          <w:szCs w:val="22"/>
        </w:rPr>
        <w:t>Dr.</w:t>
      </w:r>
      <w:proofErr w:type="spellEnd"/>
      <w:r w:rsidRPr="00D91E5F">
        <w:rPr>
          <w:rFonts w:ascii="Segoe UI" w:hAnsi="Segoe UI" w:cs="Segoe UI"/>
          <w:sz w:val="22"/>
          <w:szCs w:val="22"/>
        </w:rPr>
        <w:t xml:space="preserve"> Joe </w:t>
      </w:r>
      <w:proofErr w:type="spellStart"/>
      <w:r w:rsidRPr="00D91E5F">
        <w:rPr>
          <w:rFonts w:ascii="Segoe UI" w:hAnsi="Segoe UI" w:cs="Segoe UI"/>
          <w:sz w:val="22"/>
          <w:szCs w:val="22"/>
        </w:rPr>
        <w:t>McManners</w:t>
      </w:r>
      <w:proofErr w:type="spellEnd"/>
      <w:r w:rsidRPr="00D91E5F">
        <w:rPr>
          <w:rFonts w:ascii="Segoe UI" w:hAnsi="Segoe UI" w:cs="Segoe UI"/>
          <w:sz w:val="22"/>
          <w:szCs w:val="22"/>
        </w:rPr>
        <w:t xml:space="preserve"> in December.</w:t>
      </w:r>
    </w:p>
    <w:p w:rsidR="007E3BA0" w:rsidRPr="00D91E5F" w:rsidRDefault="007E3BA0" w:rsidP="00D91E5F">
      <w:pPr>
        <w:numPr>
          <w:ilvl w:val="1"/>
          <w:numId w:val="23"/>
        </w:numPr>
        <w:spacing w:before="100" w:beforeAutospacing="1"/>
        <w:jc w:val="both"/>
        <w:rPr>
          <w:sz w:val="22"/>
          <w:szCs w:val="22"/>
        </w:rPr>
      </w:pPr>
      <w:r w:rsidRPr="00D91E5F">
        <w:rPr>
          <w:rFonts w:ascii="Segoe UI" w:hAnsi="Segoe UI" w:cs="Segoe UI"/>
          <w:b/>
          <w:bCs/>
          <w:sz w:val="22"/>
          <w:szCs w:val="22"/>
        </w:rPr>
        <w:t>Five Year Forward View (Mental Health) (FYFVMH)</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t>Delivery of the four priorities of the Five Year Forward View (FYFV) is a core purpose of Sustainability and Transformation Partnerships and Accountable Care Systems (ACS). I am the Senior Responsible Officer (</w:t>
      </w:r>
      <w:r w:rsidRPr="00D91E5F">
        <w:rPr>
          <w:rFonts w:ascii="Segoe UI" w:hAnsi="Segoe UI" w:cs="Segoe UI"/>
          <w:b/>
          <w:bCs/>
          <w:sz w:val="22"/>
          <w:szCs w:val="22"/>
        </w:rPr>
        <w:t>SRO</w:t>
      </w:r>
      <w:r w:rsidRPr="00D91E5F">
        <w:rPr>
          <w:rFonts w:ascii="Segoe UI" w:hAnsi="Segoe UI" w:cs="Segoe UI"/>
          <w:sz w:val="22"/>
          <w:szCs w:val="22"/>
        </w:rPr>
        <w:t>) for BOB STP and we are in the process of submitting a first draft Mental Health Delivery Plan outlining the approach to delivering the objectives of the FYFVMH across BOB as well as meeting the rising demands for mental health services.</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The delivery plan is made up of 5 chapters, a context/introduction section followed by a delivery plan for each ‘place’ (Buckinghamshire ACS, West Berkshire ACS and Oxfordshire) and a final chapter that is STP-wide (primarily specialist mental health services e.g. forensic, CAMHS and Adult Eating Disorder).</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 xml:space="preserve">The Buckinghamshire ACS has established a system-wide Mental Health Delivery Group with a clinical chair and representation from across the health and social care system. The delivery group is responsible for overseeing the delivery of the mental health transformation work-streams and reports into the Buckinghamshire ACS Executive Group. It is establishing the investment required to deliver the objectives of the FYFVMH and the metrics to monitor performance. Oxfordshire has yet to establish a similar system-wide approach to delivering the FYFVMH. Wests Berkshire ACS </w:t>
      </w:r>
      <w:r w:rsidRPr="00D91E5F">
        <w:rPr>
          <w:rFonts w:ascii="Segoe UI" w:hAnsi="Segoe UI" w:cs="Segoe UI"/>
          <w:sz w:val="22"/>
          <w:szCs w:val="22"/>
        </w:rPr>
        <w:lastRenderedPageBreak/>
        <w:t xml:space="preserve">has developed its own approach to delivering it along with Berkshire Healthcare and its system partners. </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A more detailed update of the delivery plan will be provided to Board in due course.</w:t>
      </w:r>
    </w:p>
    <w:p w:rsidR="007E3BA0" w:rsidRPr="00D91E5F" w:rsidRDefault="007E3BA0" w:rsidP="00D91E5F">
      <w:pPr>
        <w:numPr>
          <w:ilvl w:val="1"/>
          <w:numId w:val="23"/>
        </w:numPr>
        <w:spacing w:before="100" w:beforeAutospacing="1"/>
        <w:jc w:val="both"/>
        <w:rPr>
          <w:sz w:val="22"/>
          <w:szCs w:val="22"/>
        </w:rPr>
      </w:pPr>
      <w:r w:rsidRPr="00D91E5F">
        <w:rPr>
          <w:rFonts w:ascii="Segoe UI" w:hAnsi="Segoe UI" w:cs="Segoe UI"/>
          <w:b/>
          <w:bCs/>
          <w:sz w:val="22"/>
          <w:szCs w:val="22"/>
        </w:rPr>
        <w:t>CQC System Review</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t>Board is aware that the CQC announced the local areas which were to be inspected as part of a thematic review to look at how patients move through the health and social care system, with a focus on the interface and what improvements can be made to patient flow. Oxfordshire commissioners and providers are to be inspected in November 2017.   System preparation is on-going and key dates were provided in my September Report to Board. </w:t>
      </w:r>
    </w:p>
    <w:p w:rsidR="007E3BA0" w:rsidRPr="00D91E5F" w:rsidRDefault="007E3BA0" w:rsidP="00D91E5F">
      <w:pPr>
        <w:numPr>
          <w:ilvl w:val="0"/>
          <w:numId w:val="23"/>
        </w:numPr>
        <w:spacing w:before="100" w:beforeAutospacing="1"/>
        <w:rPr>
          <w:sz w:val="22"/>
          <w:szCs w:val="22"/>
        </w:rPr>
      </w:pPr>
      <w:r w:rsidRPr="00D91E5F">
        <w:rPr>
          <w:rFonts w:ascii="Segoe UI" w:hAnsi="Segoe UI" w:cs="Segoe UI"/>
          <w:b/>
          <w:bCs/>
          <w:sz w:val="22"/>
          <w:szCs w:val="22"/>
        </w:rPr>
        <w:t>CEO Stakeholder meetings and visits</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t>Since the last meeting, key stakeholders with whom I have met; visits I have undertaken and meetings that I have attended have included:   </w:t>
      </w:r>
    </w:p>
    <w:tbl>
      <w:tblPr>
        <w:tblW w:w="0" w:type="auto"/>
        <w:tblCellMar>
          <w:left w:w="0" w:type="dxa"/>
          <w:right w:w="0" w:type="dxa"/>
        </w:tblCellMar>
        <w:tblLook w:val="04A0" w:firstRow="1" w:lastRow="0" w:firstColumn="1" w:lastColumn="0" w:noHBand="0" w:noVBand="1"/>
      </w:tblPr>
      <w:tblGrid>
        <w:gridCol w:w="4503"/>
        <w:gridCol w:w="5231"/>
      </w:tblGrid>
      <w:tr w:rsidR="007E3BA0" w:rsidRPr="00D91E5F" w:rsidTr="00D91E5F">
        <w:trPr>
          <w:trHeight w:val="961"/>
        </w:trPr>
        <w:tc>
          <w:tcPr>
            <w:tcW w:w="4503" w:type="dxa"/>
            <w:tcMar>
              <w:top w:w="0" w:type="dxa"/>
              <w:left w:w="108" w:type="dxa"/>
              <w:bottom w:w="0" w:type="dxa"/>
              <w:right w:w="108" w:type="dxa"/>
            </w:tcMar>
            <w:hideMark/>
          </w:tcPr>
          <w:p w:rsidR="007E3BA0" w:rsidRPr="00D91E5F" w:rsidRDefault="007E3BA0" w:rsidP="00D91E5F">
            <w:pPr>
              <w:rPr>
                <w:rFonts w:ascii="Calibri" w:eastAsiaTheme="minorHAnsi" w:hAnsi="Calibri"/>
                <w:sz w:val="22"/>
                <w:szCs w:val="22"/>
              </w:rPr>
            </w:pPr>
            <w:r w:rsidRPr="00D91E5F">
              <w:rPr>
                <w:rFonts w:ascii="Segoe UI" w:hAnsi="Segoe UI" w:cs="Segoe UI"/>
                <w:sz w:val="22"/>
                <w:szCs w:val="22"/>
                <w:lang w:eastAsia="en-GB"/>
              </w:rPr>
              <w:t> </w:t>
            </w:r>
          </w:p>
          <w:p w:rsidR="007E3BA0" w:rsidRPr="00D91E5F" w:rsidRDefault="007E3BA0" w:rsidP="00D91E5F">
            <w:pPr>
              <w:numPr>
                <w:ilvl w:val="0"/>
                <w:numId w:val="27"/>
              </w:numPr>
              <w:ind w:left="426"/>
              <w:rPr>
                <w:rFonts w:ascii="Calibri" w:eastAsiaTheme="minorHAnsi" w:hAnsi="Calibri"/>
                <w:sz w:val="22"/>
                <w:szCs w:val="22"/>
              </w:rPr>
            </w:pPr>
            <w:r w:rsidRPr="00D91E5F">
              <w:rPr>
                <w:rFonts w:ascii="Segoe UI" w:hAnsi="Segoe UI" w:cs="Segoe UI"/>
                <w:sz w:val="22"/>
                <w:szCs w:val="22"/>
                <w:lang w:eastAsia="en-GB"/>
              </w:rPr>
              <w:t>Oxfordshire Transformation Board &amp; Oxfordshire County Council</w:t>
            </w:r>
          </w:p>
        </w:tc>
        <w:tc>
          <w:tcPr>
            <w:tcW w:w="5231" w:type="dxa"/>
            <w:tcMar>
              <w:top w:w="0" w:type="dxa"/>
              <w:left w:w="108" w:type="dxa"/>
              <w:bottom w:w="0" w:type="dxa"/>
              <w:right w:w="108" w:type="dxa"/>
            </w:tcMar>
            <w:hideMark/>
          </w:tcPr>
          <w:p w:rsidR="007E3BA0" w:rsidRPr="00D91E5F" w:rsidRDefault="007E3BA0" w:rsidP="00D91E5F">
            <w:pPr>
              <w:ind w:left="459"/>
              <w:rPr>
                <w:rFonts w:ascii="Calibri" w:eastAsiaTheme="minorHAnsi" w:hAnsi="Calibri"/>
                <w:sz w:val="22"/>
                <w:szCs w:val="22"/>
              </w:rPr>
            </w:pPr>
            <w:r w:rsidRPr="00D91E5F">
              <w:rPr>
                <w:rFonts w:ascii="Segoe UI" w:hAnsi="Segoe UI" w:cs="Segoe UI"/>
                <w:sz w:val="22"/>
                <w:szCs w:val="22"/>
                <w:lang w:eastAsia="en-GB"/>
              </w:rPr>
              <w:t> </w:t>
            </w:r>
          </w:p>
          <w:p w:rsidR="007E3BA0" w:rsidRPr="00D91E5F" w:rsidRDefault="007E3BA0" w:rsidP="00D91E5F">
            <w:pPr>
              <w:numPr>
                <w:ilvl w:val="0"/>
                <w:numId w:val="27"/>
              </w:numPr>
              <w:ind w:left="459"/>
              <w:rPr>
                <w:rFonts w:ascii="Calibri" w:eastAsiaTheme="minorHAnsi" w:hAnsi="Calibri"/>
                <w:sz w:val="22"/>
                <w:szCs w:val="22"/>
              </w:rPr>
            </w:pPr>
            <w:r w:rsidRPr="00D91E5F">
              <w:rPr>
                <w:rFonts w:ascii="Segoe UI" w:hAnsi="Segoe UI" w:cs="Segoe UI"/>
                <w:sz w:val="22"/>
                <w:szCs w:val="22"/>
                <w:lang w:eastAsia="en-GB"/>
              </w:rPr>
              <w:t>University of Oxford, Oxford Janssen Neuroscience Strategy meeting</w:t>
            </w:r>
          </w:p>
        </w:tc>
      </w:tr>
      <w:tr w:rsidR="007E3BA0" w:rsidRPr="00D91E5F" w:rsidTr="00D91E5F">
        <w:tc>
          <w:tcPr>
            <w:tcW w:w="4503" w:type="dxa"/>
            <w:tcMar>
              <w:top w:w="0" w:type="dxa"/>
              <w:left w:w="108" w:type="dxa"/>
              <w:bottom w:w="0" w:type="dxa"/>
              <w:right w:w="108" w:type="dxa"/>
            </w:tcMar>
            <w:hideMark/>
          </w:tcPr>
          <w:p w:rsidR="007E3BA0" w:rsidRPr="00D91E5F" w:rsidRDefault="007E3BA0" w:rsidP="00D91E5F">
            <w:pPr>
              <w:numPr>
                <w:ilvl w:val="0"/>
                <w:numId w:val="27"/>
              </w:numPr>
              <w:ind w:left="426"/>
              <w:rPr>
                <w:rFonts w:ascii="Calibri" w:eastAsiaTheme="minorHAnsi" w:hAnsi="Calibri"/>
                <w:sz w:val="22"/>
                <w:szCs w:val="22"/>
              </w:rPr>
            </w:pPr>
            <w:r w:rsidRPr="00D91E5F">
              <w:rPr>
                <w:rFonts w:ascii="Segoe UI" w:hAnsi="Segoe UI" w:cs="Segoe UI"/>
                <w:sz w:val="22"/>
                <w:szCs w:val="22"/>
                <w:lang w:eastAsia="en-GB"/>
              </w:rPr>
              <w:t>Oxfordshire CEO Board </w:t>
            </w:r>
          </w:p>
        </w:tc>
        <w:tc>
          <w:tcPr>
            <w:tcW w:w="5231" w:type="dxa"/>
            <w:tcMar>
              <w:top w:w="0" w:type="dxa"/>
              <w:left w:w="108" w:type="dxa"/>
              <w:bottom w:w="0" w:type="dxa"/>
              <w:right w:w="108" w:type="dxa"/>
            </w:tcMar>
            <w:hideMark/>
          </w:tcPr>
          <w:p w:rsidR="007E3BA0" w:rsidRPr="00D91E5F" w:rsidRDefault="007E3BA0" w:rsidP="00D91E5F">
            <w:pPr>
              <w:numPr>
                <w:ilvl w:val="0"/>
                <w:numId w:val="27"/>
              </w:numPr>
              <w:ind w:left="459"/>
              <w:rPr>
                <w:rFonts w:ascii="Calibri" w:eastAsiaTheme="minorHAnsi" w:hAnsi="Calibri"/>
                <w:sz w:val="22"/>
                <w:szCs w:val="22"/>
              </w:rPr>
            </w:pPr>
            <w:r w:rsidRPr="00D91E5F">
              <w:rPr>
                <w:rFonts w:ascii="Segoe UI" w:hAnsi="Segoe UI" w:cs="Segoe UI"/>
                <w:sz w:val="22"/>
                <w:szCs w:val="22"/>
                <w:lang w:eastAsia="en-GB"/>
              </w:rPr>
              <w:t xml:space="preserve">Oxford AHSC Board </w:t>
            </w:r>
          </w:p>
        </w:tc>
      </w:tr>
      <w:tr w:rsidR="007E3BA0" w:rsidRPr="00D91E5F" w:rsidTr="007E3BA0">
        <w:tc>
          <w:tcPr>
            <w:tcW w:w="4503" w:type="dxa"/>
            <w:tcMar>
              <w:top w:w="0" w:type="dxa"/>
              <w:left w:w="108" w:type="dxa"/>
              <w:bottom w:w="0" w:type="dxa"/>
              <w:right w:w="108" w:type="dxa"/>
            </w:tcMar>
            <w:hideMark/>
          </w:tcPr>
          <w:p w:rsidR="007E3BA0" w:rsidRPr="00D91E5F" w:rsidRDefault="007E3BA0" w:rsidP="00D91E5F">
            <w:pPr>
              <w:numPr>
                <w:ilvl w:val="0"/>
                <w:numId w:val="27"/>
              </w:numPr>
              <w:ind w:left="426"/>
              <w:rPr>
                <w:rFonts w:ascii="Calibri" w:eastAsiaTheme="minorHAnsi" w:hAnsi="Calibri"/>
                <w:sz w:val="22"/>
                <w:szCs w:val="22"/>
              </w:rPr>
            </w:pPr>
            <w:r w:rsidRPr="00D91E5F">
              <w:rPr>
                <w:rFonts w:ascii="Segoe UI" w:hAnsi="Segoe UI" w:cs="Segoe UI"/>
                <w:sz w:val="22"/>
                <w:szCs w:val="22"/>
                <w:lang w:eastAsia="en-GB"/>
              </w:rPr>
              <w:t>Thames Valley &amp; Wessex New Care Model CEOs Steering Group</w:t>
            </w:r>
          </w:p>
        </w:tc>
        <w:tc>
          <w:tcPr>
            <w:tcW w:w="5231" w:type="dxa"/>
            <w:tcMar>
              <w:top w:w="0" w:type="dxa"/>
              <w:left w:w="108" w:type="dxa"/>
              <w:bottom w:w="0" w:type="dxa"/>
              <w:right w:w="108" w:type="dxa"/>
            </w:tcMar>
            <w:hideMark/>
          </w:tcPr>
          <w:p w:rsidR="007E3BA0" w:rsidRPr="00D91E5F" w:rsidRDefault="007E3BA0" w:rsidP="00D91E5F">
            <w:pPr>
              <w:numPr>
                <w:ilvl w:val="0"/>
                <w:numId w:val="27"/>
              </w:numPr>
              <w:ind w:left="459"/>
              <w:rPr>
                <w:rFonts w:ascii="Calibri" w:eastAsiaTheme="minorHAnsi" w:hAnsi="Calibri"/>
                <w:sz w:val="22"/>
                <w:szCs w:val="22"/>
              </w:rPr>
            </w:pPr>
            <w:r w:rsidRPr="00D91E5F">
              <w:rPr>
                <w:rFonts w:ascii="Segoe UI" w:hAnsi="Segoe UI" w:cs="Segoe UI"/>
                <w:sz w:val="22"/>
                <w:szCs w:val="22"/>
                <w:lang w:eastAsia="en-GB"/>
              </w:rPr>
              <w:t>Oxfordshire CCG, CEO David Smith and Robert Courts MP</w:t>
            </w:r>
          </w:p>
        </w:tc>
      </w:tr>
      <w:tr w:rsidR="007E3BA0" w:rsidRPr="00D91E5F" w:rsidTr="007E3BA0">
        <w:tc>
          <w:tcPr>
            <w:tcW w:w="4503" w:type="dxa"/>
            <w:tcMar>
              <w:top w:w="0" w:type="dxa"/>
              <w:left w:w="108" w:type="dxa"/>
              <w:bottom w:w="0" w:type="dxa"/>
              <w:right w:w="108" w:type="dxa"/>
            </w:tcMar>
            <w:hideMark/>
          </w:tcPr>
          <w:p w:rsidR="007E3BA0" w:rsidRPr="00D91E5F" w:rsidRDefault="007E3BA0" w:rsidP="00D91E5F">
            <w:pPr>
              <w:numPr>
                <w:ilvl w:val="0"/>
                <w:numId w:val="27"/>
              </w:numPr>
              <w:ind w:left="426"/>
              <w:rPr>
                <w:rFonts w:ascii="Calibri" w:eastAsiaTheme="minorHAnsi" w:hAnsi="Calibri"/>
                <w:sz w:val="22"/>
                <w:szCs w:val="22"/>
              </w:rPr>
            </w:pPr>
            <w:r w:rsidRPr="00D91E5F">
              <w:rPr>
                <w:rFonts w:ascii="Segoe UI" w:hAnsi="Segoe UI" w:cs="Segoe UI"/>
                <w:sz w:val="22"/>
                <w:szCs w:val="22"/>
                <w:lang w:eastAsia="en-GB"/>
              </w:rPr>
              <w:t>Launch event: Leadership Development Programme</w:t>
            </w:r>
          </w:p>
        </w:tc>
        <w:tc>
          <w:tcPr>
            <w:tcW w:w="5231" w:type="dxa"/>
            <w:tcMar>
              <w:top w:w="0" w:type="dxa"/>
              <w:left w:w="108" w:type="dxa"/>
              <w:bottom w:w="0" w:type="dxa"/>
              <w:right w:w="108" w:type="dxa"/>
            </w:tcMar>
            <w:hideMark/>
          </w:tcPr>
          <w:p w:rsidR="007E3BA0" w:rsidRPr="00D91E5F" w:rsidRDefault="007E3BA0" w:rsidP="00D91E5F">
            <w:pPr>
              <w:numPr>
                <w:ilvl w:val="0"/>
                <w:numId w:val="27"/>
              </w:numPr>
              <w:ind w:left="459"/>
              <w:rPr>
                <w:rFonts w:ascii="Calibri" w:eastAsiaTheme="minorHAnsi" w:hAnsi="Calibri"/>
                <w:sz w:val="22"/>
                <w:szCs w:val="22"/>
              </w:rPr>
            </w:pPr>
            <w:r w:rsidRPr="00D91E5F">
              <w:rPr>
                <w:rFonts w:ascii="Segoe UI" w:hAnsi="Segoe UI" w:cs="Segoe UI"/>
                <w:sz w:val="22"/>
                <w:szCs w:val="22"/>
                <w:lang w:eastAsia="en-GB"/>
              </w:rPr>
              <w:t>Thames Valley Police, Nikki Ross, Assistant Chief Constable</w:t>
            </w:r>
          </w:p>
        </w:tc>
      </w:tr>
      <w:tr w:rsidR="007E3BA0" w:rsidRPr="00D91E5F" w:rsidTr="007E3BA0">
        <w:tc>
          <w:tcPr>
            <w:tcW w:w="4503" w:type="dxa"/>
            <w:tcMar>
              <w:top w:w="0" w:type="dxa"/>
              <w:left w:w="108" w:type="dxa"/>
              <w:bottom w:w="0" w:type="dxa"/>
              <w:right w:w="108" w:type="dxa"/>
            </w:tcMar>
            <w:hideMark/>
          </w:tcPr>
          <w:p w:rsidR="007E3BA0" w:rsidRPr="00D91E5F" w:rsidRDefault="007E3BA0" w:rsidP="00D91E5F">
            <w:pPr>
              <w:numPr>
                <w:ilvl w:val="0"/>
                <w:numId w:val="27"/>
              </w:numPr>
              <w:ind w:left="426"/>
              <w:rPr>
                <w:rFonts w:ascii="Calibri" w:eastAsiaTheme="minorHAnsi" w:hAnsi="Calibri"/>
                <w:sz w:val="22"/>
                <w:szCs w:val="22"/>
              </w:rPr>
            </w:pPr>
            <w:r w:rsidRPr="00D91E5F">
              <w:rPr>
                <w:rFonts w:ascii="Segoe UI" w:hAnsi="Segoe UI" w:cs="Segoe UI"/>
                <w:sz w:val="22"/>
                <w:szCs w:val="22"/>
                <w:lang w:eastAsia="en-GB"/>
              </w:rPr>
              <w:t>BRC Steering Committee</w:t>
            </w:r>
          </w:p>
        </w:tc>
        <w:tc>
          <w:tcPr>
            <w:tcW w:w="5231" w:type="dxa"/>
            <w:tcMar>
              <w:top w:w="0" w:type="dxa"/>
              <w:left w:w="108" w:type="dxa"/>
              <w:bottom w:w="0" w:type="dxa"/>
              <w:right w:w="108" w:type="dxa"/>
            </w:tcMar>
            <w:hideMark/>
          </w:tcPr>
          <w:p w:rsidR="007E3BA0" w:rsidRPr="00D91E5F" w:rsidRDefault="007E3BA0" w:rsidP="00D91E5F">
            <w:pPr>
              <w:numPr>
                <w:ilvl w:val="0"/>
                <w:numId w:val="27"/>
              </w:numPr>
              <w:ind w:left="459"/>
              <w:rPr>
                <w:rFonts w:ascii="Calibri" w:eastAsiaTheme="minorHAnsi" w:hAnsi="Calibri"/>
                <w:sz w:val="22"/>
                <w:szCs w:val="22"/>
              </w:rPr>
            </w:pPr>
            <w:r w:rsidRPr="00D91E5F">
              <w:rPr>
                <w:rFonts w:ascii="Segoe UI" w:hAnsi="Segoe UI" w:cs="Segoe UI"/>
                <w:sz w:val="22"/>
                <w:szCs w:val="22"/>
                <w:lang w:eastAsia="en-GB"/>
              </w:rPr>
              <w:t>Bucks ACS Partnership Board</w:t>
            </w:r>
          </w:p>
        </w:tc>
      </w:tr>
      <w:tr w:rsidR="007E3BA0" w:rsidRPr="00D91E5F" w:rsidTr="007E3BA0">
        <w:tc>
          <w:tcPr>
            <w:tcW w:w="4503" w:type="dxa"/>
            <w:tcMar>
              <w:top w:w="0" w:type="dxa"/>
              <w:left w:w="108" w:type="dxa"/>
              <w:bottom w:w="0" w:type="dxa"/>
              <w:right w:w="108" w:type="dxa"/>
            </w:tcMar>
            <w:hideMark/>
          </w:tcPr>
          <w:p w:rsidR="007E3BA0" w:rsidRPr="00D91E5F" w:rsidRDefault="007E3BA0" w:rsidP="00D91E5F">
            <w:pPr>
              <w:numPr>
                <w:ilvl w:val="0"/>
                <w:numId w:val="27"/>
              </w:numPr>
              <w:ind w:left="426"/>
              <w:rPr>
                <w:rFonts w:ascii="Calibri" w:eastAsiaTheme="minorHAnsi" w:hAnsi="Calibri"/>
                <w:sz w:val="22"/>
                <w:szCs w:val="22"/>
              </w:rPr>
            </w:pPr>
            <w:r w:rsidRPr="00D91E5F">
              <w:rPr>
                <w:rFonts w:ascii="Segoe UI" w:hAnsi="Segoe UI" w:cs="Segoe UI"/>
                <w:sz w:val="22"/>
                <w:szCs w:val="22"/>
                <w:lang w:eastAsia="en-GB"/>
              </w:rPr>
              <w:t>Sir David Behan lecture</w:t>
            </w:r>
          </w:p>
        </w:tc>
        <w:tc>
          <w:tcPr>
            <w:tcW w:w="5231" w:type="dxa"/>
            <w:tcMar>
              <w:top w:w="0" w:type="dxa"/>
              <w:left w:w="108" w:type="dxa"/>
              <w:bottom w:w="0" w:type="dxa"/>
              <w:right w:w="108" w:type="dxa"/>
            </w:tcMar>
            <w:hideMark/>
          </w:tcPr>
          <w:p w:rsidR="007E3BA0" w:rsidRPr="00D91E5F" w:rsidRDefault="007E3BA0" w:rsidP="00D91E5F">
            <w:pPr>
              <w:numPr>
                <w:ilvl w:val="0"/>
                <w:numId w:val="27"/>
              </w:numPr>
              <w:ind w:left="459"/>
              <w:rPr>
                <w:rFonts w:ascii="Calibri" w:eastAsiaTheme="minorHAnsi" w:hAnsi="Calibri"/>
                <w:sz w:val="22"/>
                <w:szCs w:val="22"/>
              </w:rPr>
            </w:pPr>
            <w:r w:rsidRPr="00D91E5F">
              <w:rPr>
                <w:rFonts w:ascii="Segoe UI" w:hAnsi="Segoe UI" w:cs="Segoe UI"/>
                <w:sz w:val="22"/>
                <w:szCs w:val="22"/>
                <w:lang w:eastAsia="en-GB"/>
              </w:rPr>
              <w:t>NHSI Operational Productivity Advisory Board</w:t>
            </w:r>
          </w:p>
        </w:tc>
      </w:tr>
      <w:tr w:rsidR="007E3BA0" w:rsidRPr="00D91E5F" w:rsidTr="007E3BA0">
        <w:tc>
          <w:tcPr>
            <w:tcW w:w="4503" w:type="dxa"/>
            <w:tcMar>
              <w:top w:w="0" w:type="dxa"/>
              <w:left w:w="108" w:type="dxa"/>
              <w:bottom w:w="0" w:type="dxa"/>
              <w:right w:w="108" w:type="dxa"/>
            </w:tcMar>
            <w:hideMark/>
          </w:tcPr>
          <w:p w:rsidR="007E3BA0" w:rsidRPr="00D91E5F" w:rsidRDefault="007E3BA0" w:rsidP="00D91E5F">
            <w:pPr>
              <w:numPr>
                <w:ilvl w:val="0"/>
                <w:numId w:val="27"/>
              </w:numPr>
              <w:ind w:left="426"/>
              <w:rPr>
                <w:rFonts w:ascii="Calibri" w:eastAsiaTheme="minorHAnsi" w:hAnsi="Calibri"/>
                <w:sz w:val="22"/>
                <w:szCs w:val="22"/>
              </w:rPr>
            </w:pPr>
            <w:r w:rsidRPr="00D91E5F">
              <w:rPr>
                <w:rFonts w:ascii="Segoe UI" w:hAnsi="Segoe UI" w:cs="Segoe UI"/>
                <w:sz w:val="22"/>
                <w:szCs w:val="22"/>
                <w:lang w:eastAsia="en-GB"/>
              </w:rPr>
              <w:t>OSCHR Board</w:t>
            </w:r>
          </w:p>
        </w:tc>
        <w:tc>
          <w:tcPr>
            <w:tcW w:w="5231" w:type="dxa"/>
            <w:tcMar>
              <w:top w:w="0" w:type="dxa"/>
              <w:left w:w="108" w:type="dxa"/>
              <w:bottom w:w="0" w:type="dxa"/>
              <w:right w:w="108" w:type="dxa"/>
            </w:tcMar>
            <w:hideMark/>
          </w:tcPr>
          <w:p w:rsidR="007E3BA0" w:rsidRPr="00D91E5F" w:rsidRDefault="007E3BA0" w:rsidP="00D91E5F">
            <w:pPr>
              <w:numPr>
                <w:ilvl w:val="0"/>
                <w:numId w:val="27"/>
              </w:numPr>
              <w:ind w:left="459"/>
              <w:rPr>
                <w:rFonts w:ascii="Calibri" w:eastAsiaTheme="minorHAnsi" w:hAnsi="Calibri"/>
                <w:sz w:val="22"/>
                <w:szCs w:val="22"/>
              </w:rPr>
            </w:pPr>
            <w:r w:rsidRPr="00D91E5F">
              <w:rPr>
                <w:rFonts w:ascii="Segoe UI" w:hAnsi="Segoe UI" w:cs="Segoe UI"/>
                <w:sz w:val="22"/>
                <w:szCs w:val="22"/>
                <w:lang w:eastAsia="en-GB"/>
              </w:rPr>
              <w:t>BOB STP Exec Lead interviews</w:t>
            </w:r>
          </w:p>
        </w:tc>
      </w:tr>
      <w:tr w:rsidR="007E3BA0" w:rsidRPr="00D91E5F" w:rsidTr="007E3BA0">
        <w:tc>
          <w:tcPr>
            <w:tcW w:w="4503" w:type="dxa"/>
            <w:tcMar>
              <w:top w:w="0" w:type="dxa"/>
              <w:left w:w="108" w:type="dxa"/>
              <w:bottom w:w="0" w:type="dxa"/>
              <w:right w:w="108" w:type="dxa"/>
            </w:tcMar>
            <w:hideMark/>
          </w:tcPr>
          <w:p w:rsidR="007E3BA0" w:rsidRPr="00D91E5F" w:rsidRDefault="007E3BA0" w:rsidP="00D91E5F">
            <w:pPr>
              <w:numPr>
                <w:ilvl w:val="0"/>
                <w:numId w:val="27"/>
              </w:numPr>
              <w:ind w:left="426"/>
              <w:rPr>
                <w:rFonts w:ascii="Calibri" w:eastAsiaTheme="minorHAnsi" w:hAnsi="Calibri"/>
                <w:sz w:val="22"/>
                <w:szCs w:val="22"/>
              </w:rPr>
            </w:pPr>
            <w:r w:rsidRPr="00D91E5F">
              <w:rPr>
                <w:rFonts w:ascii="Segoe UI" w:hAnsi="Segoe UI" w:cs="Segoe UI"/>
                <w:sz w:val="22"/>
                <w:szCs w:val="22"/>
                <w:lang w:eastAsia="en-GB"/>
              </w:rPr>
              <w:t xml:space="preserve">Medical Staffing </w:t>
            </w:r>
            <w:proofErr w:type="spellStart"/>
            <w:r w:rsidRPr="00D91E5F">
              <w:rPr>
                <w:rFonts w:ascii="Segoe UI" w:hAnsi="Segoe UI" w:cs="Segoe UI"/>
                <w:sz w:val="22"/>
                <w:szCs w:val="22"/>
                <w:lang w:eastAsia="en-GB"/>
              </w:rPr>
              <w:t>Awayday</w:t>
            </w:r>
            <w:proofErr w:type="spellEnd"/>
          </w:p>
        </w:tc>
        <w:tc>
          <w:tcPr>
            <w:tcW w:w="5231" w:type="dxa"/>
            <w:tcMar>
              <w:top w:w="0" w:type="dxa"/>
              <w:left w:w="108" w:type="dxa"/>
              <w:bottom w:w="0" w:type="dxa"/>
              <w:right w:w="108" w:type="dxa"/>
            </w:tcMar>
            <w:hideMark/>
          </w:tcPr>
          <w:p w:rsidR="007E3BA0" w:rsidRPr="00D91E5F" w:rsidRDefault="007E3BA0" w:rsidP="00D91E5F">
            <w:pPr>
              <w:numPr>
                <w:ilvl w:val="0"/>
                <w:numId w:val="27"/>
              </w:numPr>
              <w:ind w:left="459"/>
              <w:rPr>
                <w:rFonts w:ascii="Calibri" w:eastAsiaTheme="minorHAnsi" w:hAnsi="Calibri"/>
                <w:sz w:val="22"/>
                <w:szCs w:val="22"/>
              </w:rPr>
            </w:pPr>
            <w:r w:rsidRPr="00D91E5F">
              <w:rPr>
                <w:rFonts w:ascii="Segoe UI" w:hAnsi="Segoe UI" w:cs="Segoe UI"/>
                <w:sz w:val="22"/>
                <w:szCs w:val="22"/>
                <w:lang w:eastAsia="en-GB"/>
              </w:rPr>
              <w:t>Well Led 1:1s with senior management</w:t>
            </w:r>
          </w:p>
        </w:tc>
      </w:tr>
    </w:tbl>
    <w:p w:rsidR="007E3BA0" w:rsidRPr="00D91E5F" w:rsidRDefault="007E3BA0" w:rsidP="00D91E5F">
      <w:pPr>
        <w:numPr>
          <w:ilvl w:val="0"/>
          <w:numId w:val="23"/>
        </w:numPr>
        <w:spacing w:before="100" w:beforeAutospacing="1"/>
        <w:rPr>
          <w:rFonts w:ascii="Calibri" w:hAnsi="Calibri"/>
          <w:sz w:val="22"/>
          <w:szCs w:val="22"/>
        </w:rPr>
      </w:pPr>
      <w:r w:rsidRPr="00D91E5F">
        <w:rPr>
          <w:rFonts w:ascii="Segoe UI" w:hAnsi="Segoe UI" w:cs="Segoe UI"/>
          <w:b/>
          <w:bCs/>
          <w:sz w:val="22"/>
          <w:szCs w:val="22"/>
        </w:rPr>
        <w:t>Consultant appointments</w:t>
      </w:r>
    </w:p>
    <w:p w:rsidR="007E3BA0" w:rsidRPr="00D91E5F" w:rsidRDefault="007E3BA0" w:rsidP="00D91E5F">
      <w:pPr>
        <w:spacing w:before="100" w:beforeAutospacing="1"/>
        <w:jc w:val="both"/>
        <w:rPr>
          <w:rFonts w:eastAsiaTheme="minorHAnsi"/>
          <w:sz w:val="22"/>
          <w:szCs w:val="22"/>
        </w:rPr>
      </w:pPr>
      <w:r w:rsidRPr="00D91E5F">
        <w:rPr>
          <w:rFonts w:ascii="Segoe UI" w:hAnsi="Segoe UI" w:cs="Segoe UI"/>
          <w:sz w:val="22"/>
          <w:szCs w:val="22"/>
        </w:rPr>
        <w:lastRenderedPageBreak/>
        <w:t xml:space="preserve">There have been three consultant appointments accepted since the last Board of Directors’ meeting.   Dr Alexis </w:t>
      </w:r>
      <w:proofErr w:type="spellStart"/>
      <w:r w:rsidRPr="00D91E5F">
        <w:rPr>
          <w:rFonts w:ascii="Segoe UI" w:hAnsi="Segoe UI" w:cs="Segoe UI"/>
          <w:sz w:val="22"/>
          <w:szCs w:val="22"/>
        </w:rPr>
        <w:t>Economou</w:t>
      </w:r>
      <w:proofErr w:type="spellEnd"/>
      <w:r w:rsidRPr="00D91E5F">
        <w:rPr>
          <w:rFonts w:ascii="Segoe UI" w:hAnsi="Segoe UI" w:cs="Segoe UI"/>
          <w:sz w:val="22"/>
          <w:szCs w:val="22"/>
        </w:rPr>
        <w:t xml:space="preserve"> has been appointed to a 5 PA consultant post with City AMHT based at the </w:t>
      </w:r>
      <w:proofErr w:type="spellStart"/>
      <w:r w:rsidRPr="00D91E5F">
        <w:rPr>
          <w:rFonts w:ascii="Segoe UI" w:hAnsi="Segoe UI" w:cs="Segoe UI"/>
          <w:sz w:val="22"/>
          <w:szCs w:val="22"/>
        </w:rPr>
        <w:t>Warneford</w:t>
      </w:r>
      <w:proofErr w:type="spellEnd"/>
      <w:r w:rsidRPr="00D91E5F">
        <w:rPr>
          <w:rFonts w:ascii="Segoe UI" w:hAnsi="Segoe UI" w:cs="Segoe UI"/>
          <w:sz w:val="22"/>
          <w:szCs w:val="22"/>
        </w:rPr>
        <w:t xml:space="preserve">.  Alexis completed his CCT in general adult psychiatry in 2014 but went on to complete higher training in </w:t>
      </w:r>
      <w:proofErr w:type="gramStart"/>
      <w:r w:rsidRPr="00D91E5F">
        <w:rPr>
          <w:rFonts w:ascii="Segoe UI" w:hAnsi="Segoe UI" w:cs="Segoe UI"/>
          <w:sz w:val="22"/>
          <w:szCs w:val="22"/>
        </w:rPr>
        <w:t>psychotherapy,</w:t>
      </w:r>
      <w:proofErr w:type="gramEnd"/>
      <w:r w:rsidRPr="00D91E5F">
        <w:rPr>
          <w:rFonts w:ascii="Segoe UI" w:hAnsi="Segoe UI" w:cs="Segoe UI"/>
          <w:sz w:val="22"/>
          <w:szCs w:val="22"/>
        </w:rPr>
        <w:t xml:space="preserve"> the CCT in this specialty is expected in March 2018. Alexis has worked with the Trust for the last 6 years and completed 12 months with City AMHT for his final year of general adult psychiatry higher training. The completion of two higher training programmes has enable Alexis to gain extensive experience of working with people in the general adult population with severe mental illness and he will be an excellent addition to the team.</w:t>
      </w:r>
    </w:p>
    <w:p w:rsidR="007E3BA0" w:rsidRPr="00D91E5F" w:rsidRDefault="007E3BA0" w:rsidP="00D91E5F">
      <w:pPr>
        <w:rPr>
          <w:rFonts w:ascii="Calibri" w:eastAsiaTheme="minorHAnsi" w:hAnsi="Calibri"/>
          <w:sz w:val="22"/>
          <w:szCs w:val="22"/>
        </w:rPr>
      </w:pPr>
      <w:r w:rsidRPr="00D91E5F">
        <w:rPr>
          <w:rFonts w:ascii="Segoe UI" w:hAnsi="Segoe UI" w:cs="Segoe UI"/>
          <w:sz w:val="22"/>
          <w:szCs w:val="22"/>
        </w:rPr>
        <w:t xml:space="preserve">Dr </w:t>
      </w:r>
      <w:proofErr w:type="spellStart"/>
      <w:r w:rsidRPr="00D91E5F">
        <w:rPr>
          <w:rFonts w:ascii="Segoe UI" w:hAnsi="Segoe UI" w:cs="Segoe UI"/>
          <w:sz w:val="22"/>
          <w:szCs w:val="22"/>
        </w:rPr>
        <w:t>Ayman</w:t>
      </w:r>
      <w:proofErr w:type="spellEnd"/>
      <w:r w:rsidRPr="00D91E5F">
        <w:rPr>
          <w:rFonts w:ascii="Segoe UI" w:hAnsi="Segoe UI" w:cs="Segoe UI"/>
          <w:sz w:val="22"/>
          <w:szCs w:val="22"/>
        </w:rPr>
        <w:t xml:space="preserve"> </w:t>
      </w:r>
      <w:proofErr w:type="spellStart"/>
      <w:r w:rsidRPr="00D91E5F">
        <w:rPr>
          <w:rFonts w:ascii="Segoe UI" w:hAnsi="Segoe UI" w:cs="Segoe UI"/>
          <w:sz w:val="22"/>
          <w:szCs w:val="22"/>
        </w:rPr>
        <w:t>Guirguis</w:t>
      </w:r>
      <w:proofErr w:type="spellEnd"/>
      <w:r w:rsidRPr="00D91E5F">
        <w:rPr>
          <w:rFonts w:ascii="Segoe UI" w:hAnsi="Segoe UI" w:cs="Segoe UI"/>
          <w:sz w:val="22"/>
          <w:szCs w:val="22"/>
        </w:rPr>
        <w:t xml:space="preserve"> has been appointed to a 10 PA older adult consultant post with PIRLS based at Stoke Mandeville Hospital, Aylesbury. Dr </w:t>
      </w:r>
      <w:proofErr w:type="spellStart"/>
      <w:r w:rsidRPr="00D91E5F">
        <w:rPr>
          <w:rFonts w:ascii="Segoe UI" w:hAnsi="Segoe UI" w:cs="Segoe UI"/>
          <w:sz w:val="22"/>
          <w:szCs w:val="22"/>
        </w:rPr>
        <w:t>Guirguis</w:t>
      </w:r>
      <w:proofErr w:type="spellEnd"/>
      <w:r w:rsidRPr="00D91E5F">
        <w:rPr>
          <w:rFonts w:ascii="Segoe UI" w:hAnsi="Segoe UI" w:cs="Segoe UI"/>
          <w:sz w:val="22"/>
          <w:szCs w:val="22"/>
        </w:rPr>
        <w:t xml:space="preserve"> completed his degree in medicine and </w:t>
      </w:r>
      <w:proofErr w:type="gramStart"/>
      <w:r w:rsidRPr="00D91E5F">
        <w:rPr>
          <w:rFonts w:ascii="Segoe UI" w:hAnsi="Segoe UI" w:cs="Segoe UI"/>
          <w:sz w:val="22"/>
          <w:szCs w:val="22"/>
        </w:rPr>
        <w:t>a masters</w:t>
      </w:r>
      <w:proofErr w:type="gramEnd"/>
      <w:r w:rsidRPr="00D91E5F">
        <w:rPr>
          <w:rFonts w:ascii="Segoe UI" w:hAnsi="Segoe UI" w:cs="Segoe UI"/>
          <w:sz w:val="22"/>
          <w:szCs w:val="22"/>
        </w:rPr>
        <w:t xml:space="preserve"> in neuropsychiatry at Cairo University, Egypt, and has also completed a diploma in clinical psychiatry with the Royal College of Physicians.  Dr </w:t>
      </w:r>
      <w:proofErr w:type="spellStart"/>
      <w:r w:rsidRPr="00D91E5F">
        <w:rPr>
          <w:rFonts w:ascii="Segoe UI" w:hAnsi="Segoe UI" w:cs="Segoe UI"/>
          <w:sz w:val="22"/>
          <w:szCs w:val="22"/>
        </w:rPr>
        <w:t>Guirguis</w:t>
      </w:r>
      <w:proofErr w:type="spellEnd"/>
      <w:r w:rsidRPr="00D91E5F">
        <w:rPr>
          <w:rFonts w:ascii="Segoe UI" w:hAnsi="Segoe UI" w:cs="Segoe UI"/>
          <w:sz w:val="22"/>
          <w:szCs w:val="22"/>
        </w:rPr>
        <w:t xml:space="preserve"> completed his core psychiatry training with Cambridge and Peterborough and his higher training in Hertfordshire and has since completed a PhD in the management of depression and fatigue in haemodialysis patients. To undertake a post with OHFT he will be leaving his consultant post with Cambridgeshire and Peterborough NHFT.</w:t>
      </w:r>
    </w:p>
    <w:p w:rsidR="007E3BA0" w:rsidRPr="00D91E5F" w:rsidRDefault="007E3BA0" w:rsidP="00D91E5F">
      <w:pPr>
        <w:rPr>
          <w:rFonts w:ascii="Calibri" w:eastAsiaTheme="minorHAnsi" w:hAnsi="Calibri"/>
          <w:sz w:val="22"/>
          <w:szCs w:val="22"/>
        </w:rPr>
      </w:pPr>
      <w:r w:rsidRPr="00D91E5F">
        <w:rPr>
          <w:rFonts w:ascii="Segoe UI" w:hAnsi="Segoe UI" w:cs="Segoe UI"/>
          <w:sz w:val="22"/>
          <w:szCs w:val="22"/>
        </w:rPr>
        <w:t xml:space="preserve">Dr Aleksandra </w:t>
      </w:r>
      <w:proofErr w:type="spellStart"/>
      <w:r w:rsidRPr="00D91E5F">
        <w:rPr>
          <w:rFonts w:ascii="Segoe UI" w:hAnsi="Segoe UI" w:cs="Segoe UI"/>
          <w:sz w:val="22"/>
          <w:szCs w:val="22"/>
        </w:rPr>
        <w:t>Szpak</w:t>
      </w:r>
      <w:proofErr w:type="spellEnd"/>
      <w:r w:rsidRPr="00D91E5F">
        <w:rPr>
          <w:rFonts w:ascii="Segoe UI" w:hAnsi="Segoe UI" w:cs="Segoe UI"/>
          <w:sz w:val="22"/>
          <w:szCs w:val="22"/>
        </w:rPr>
        <w:t xml:space="preserve">-Lea has been appointed to a 10 PA consultant post in the treatment team with Chiltern AMHT.  Aleksandra completed her medical degree and psychiatry training in Krakow, Poland and went on to work as a staff grade doctor in a variety of organisations in the UK from 2006, including a short contract with Oxford Health working in the Assertive Outreach and Crisis teams in Buckinghamshire. Following this she worked as a locum consultant with the Trust and subsequently Kent and Medway Trust. Aleksandra is on the specialist register so was able to embark on her first substantive consultant post with Kent and Medway from January </w:t>
      </w:r>
      <w:proofErr w:type="gramStart"/>
      <w:r w:rsidRPr="00D91E5F">
        <w:rPr>
          <w:rFonts w:ascii="Segoe UI" w:hAnsi="Segoe UI" w:cs="Segoe UI"/>
          <w:sz w:val="22"/>
          <w:szCs w:val="22"/>
        </w:rPr>
        <w:t>2015,</w:t>
      </w:r>
      <w:proofErr w:type="gramEnd"/>
      <w:r w:rsidRPr="00D91E5F">
        <w:rPr>
          <w:rFonts w:ascii="Segoe UI" w:hAnsi="Segoe UI" w:cs="Segoe UI"/>
          <w:sz w:val="22"/>
          <w:szCs w:val="22"/>
        </w:rPr>
        <w:t xml:space="preserve"> she will be leaving this post to re-join OHFT in the Chiltern team. </w:t>
      </w:r>
    </w:p>
    <w:p w:rsidR="007E3BA0" w:rsidRPr="00D91E5F" w:rsidRDefault="007E3BA0" w:rsidP="00D91E5F">
      <w:pPr>
        <w:spacing w:before="100" w:beforeAutospacing="1"/>
        <w:jc w:val="both"/>
        <w:rPr>
          <w:sz w:val="22"/>
          <w:szCs w:val="22"/>
        </w:rPr>
      </w:pPr>
      <w:r w:rsidRPr="00D91E5F">
        <w:rPr>
          <w:rFonts w:ascii="Segoe UI" w:hAnsi="Segoe UI" w:cs="Segoe UI"/>
          <w:b/>
          <w:bCs/>
          <w:sz w:val="22"/>
          <w:szCs w:val="22"/>
        </w:rPr>
        <w:t>Recommendation</w:t>
      </w:r>
    </w:p>
    <w:p w:rsidR="007E3BA0" w:rsidRPr="00D91E5F" w:rsidRDefault="007E3BA0" w:rsidP="00D91E5F">
      <w:pPr>
        <w:spacing w:before="100" w:beforeAutospacing="1"/>
        <w:jc w:val="both"/>
        <w:rPr>
          <w:sz w:val="22"/>
          <w:szCs w:val="22"/>
        </w:rPr>
      </w:pPr>
      <w:r w:rsidRPr="00D91E5F">
        <w:rPr>
          <w:rFonts w:ascii="Segoe UI" w:hAnsi="Segoe UI" w:cs="Segoe UI"/>
          <w:sz w:val="22"/>
          <w:szCs w:val="22"/>
        </w:rPr>
        <w:t xml:space="preserve">The Board is invited to note the report seeking any necessary assurances arising from it or its appendices and to ratify the consultant appointments above. </w:t>
      </w:r>
    </w:p>
    <w:p w:rsidR="007E3BA0" w:rsidRPr="00D91E5F" w:rsidRDefault="007E3BA0" w:rsidP="00D91E5F">
      <w:pPr>
        <w:ind w:left="3600" w:hanging="3600"/>
        <w:rPr>
          <w:sz w:val="22"/>
          <w:szCs w:val="22"/>
        </w:rPr>
      </w:pPr>
      <w:r w:rsidRPr="00D91E5F">
        <w:rPr>
          <w:rFonts w:ascii="Segoe UI" w:hAnsi="Segoe UI" w:cs="Segoe UI"/>
          <w:b/>
          <w:bCs/>
          <w:sz w:val="22"/>
          <w:szCs w:val="22"/>
        </w:rPr>
        <w:t xml:space="preserve">Lead Executive Director:                  </w:t>
      </w:r>
      <w:r w:rsidRPr="00D91E5F">
        <w:rPr>
          <w:rFonts w:ascii="Segoe UI" w:hAnsi="Segoe UI" w:cs="Segoe UI"/>
          <w:sz w:val="22"/>
          <w:szCs w:val="22"/>
        </w:rPr>
        <w:t>Stuart Bell, Chief Executive </w:t>
      </w:r>
    </w:p>
    <w:p w:rsidR="0053433F" w:rsidRPr="00F219F3" w:rsidRDefault="0053433F" w:rsidP="006A4F4B">
      <w:pPr>
        <w:spacing w:before="100" w:beforeAutospacing="1"/>
        <w:jc w:val="both"/>
        <w:rPr>
          <w:rFonts w:ascii="Segoe UI" w:eastAsia="Calibri" w:hAnsi="Segoe UI" w:cs="Segoe UI"/>
          <w:sz w:val="22"/>
          <w:szCs w:val="22"/>
        </w:rPr>
      </w:pPr>
    </w:p>
    <w:sectPr w:rsidR="0053433F" w:rsidRPr="00F219F3">
      <w:headerReference w:type="default" r:id="rId18"/>
      <w:footerReference w:type="default" r:id="rId19"/>
      <w:type w:val="continuous"/>
      <w:pgSz w:w="12240" w:h="15840"/>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9D2" w:rsidRDefault="006319D2">
      <w:pPr>
        <w:spacing w:after="0" w:line="240" w:lineRule="auto"/>
      </w:pPr>
      <w:r>
        <w:separator/>
      </w:r>
    </w:p>
  </w:endnote>
  <w:endnote w:type="continuationSeparator" w:id="0">
    <w:p w:rsidR="006319D2" w:rsidRDefault="00631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yriad Pr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444595"/>
    </w:sdtPr>
    <w:sdtEndPr/>
    <w:sdtContent>
      <w:p w:rsidR="006319D2" w:rsidRDefault="006319D2">
        <w:pPr>
          <w:pStyle w:val="Footer"/>
          <w:jc w:val="center"/>
        </w:pPr>
        <w:r>
          <w:fldChar w:fldCharType="begin"/>
        </w:r>
        <w:r>
          <w:instrText xml:space="preserve"> PAGE   \* MERGEFORMAT </w:instrText>
        </w:r>
        <w:r>
          <w:fldChar w:fldCharType="separate"/>
        </w:r>
        <w:r w:rsidR="00F80ACF">
          <w:rPr>
            <w:noProof/>
          </w:rPr>
          <w:t>8</w:t>
        </w:r>
        <w:r>
          <w:fldChar w:fldCharType="end"/>
        </w:r>
      </w:p>
    </w:sdtContent>
  </w:sdt>
  <w:p w:rsidR="006319D2" w:rsidRDefault="006319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9D2" w:rsidRDefault="006319D2">
      <w:pPr>
        <w:spacing w:after="0" w:line="240" w:lineRule="auto"/>
      </w:pPr>
      <w:r>
        <w:separator/>
      </w:r>
    </w:p>
  </w:footnote>
  <w:footnote w:type="continuationSeparator" w:id="0">
    <w:p w:rsidR="006319D2" w:rsidRDefault="006319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9D2" w:rsidRDefault="006319D2">
    <w:pPr>
      <w:pStyle w:val="Header"/>
      <w:jc w:val="center"/>
      <w:rPr>
        <w:rFonts w:ascii="Arial" w:hAnsi="Arial" w:cs="Arial"/>
        <w:sz w:val="20"/>
        <w:szCs w:val="20"/>
      </w:rPr>
    </w:pPr>
    <w:r>
      <w:rPr>
        <w:rFonts w:ascii="Arial" w:hAnsi="Arial" w:cs="Arial"/>
        <w:i/>
        <w:sz w:val="20"/>
        <w:szCs w:val="20"/>
      </w:rPr>
      <w:t>PUBLIC</w:t>
    </w:r>
    <w:r>
      <w:rPr>
        <w:rFonts w:ascii="Arial" w:hAnsi="Arial" w:cs="Arial"/>
        <w:sz w:val="20"/>
        <w:szCs w:val="20"/>
      </w:rPr>
      <w:t xml:space="preserve"> </w:t>
    </w:r>
  </w:p>
  <w:p w:rsidR="006319D2" w:rsidRDefault="006319D2">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C41E1"/>
    <w:multiLevelType w:val="hybridMultilevel"/>
    <w:tmpl w:val="512E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4F1028"/>
    <w:multiLevelType w:val="hybridMultilevel"/>
    <w:tmpl w:val="E2A67E0C"/>
    <w:lvl w:ilvl="0" w:tplc="2D9C3488">
      <w:start w:val="1"/>
      <w:numFmt w:val="bullet"/>
      <w:lvlText w:val="•"/>
      <w:lvlJc w:val="left"/>
      <w:pPr>
        <w:tabs>
          <w:tab w:val="num" w:pos="720"/>
        </w:tabs>
        <w:ind w:left="720" w:hanging="360"/>
      </w:pPr>
      <w:rPr>
        <w:rFonts w:ascii="Arial" w:hAnsi="Arial" w:hint="default"/>
      </w:rPr>
    </w:lvl>
    <w:lvl w:ilvl="1" w:tplc="A9E64914" w:tentative="1">
      <w:start w:val="1"/>
      <w:numFmt w:val="bullet"/>
      <w:lvlText w:val="•"/>
      <w:lvlJc w:val="left"/>
      <w:pPr>
        <w:tabs>
          <w:tab w:val="num" w:pos="1440"/>
        </w:tabs>
        <w:ind w:left="1440" w:hanging="360"/>
      </w:pPr>
      <w:rPr>
        <w:rFonts w:ascii="Arial" w:hAnsi="Arial" w:hint="default"/>
      </w:rPr>
    </w:lvl>
    <w:lvl w:ilvl="2" w:tplc="14C40CC6" w:tentative="1">
      <w:start w:val="1"/>
      <w:numFmt w:val="bullet"/>
      <w:lvlText w:val="•"/>
      <w:lvlJc w:val="left"/>
      <w:pPr>
        <w:tabs>
          <w:tab w:val="num" w:pos="2160"/>
        </w:tabs>
        <w:ind w:left="2160" w:hanging="360"/>
      </w:pPr>
      <w:rPr>
        <w:rFonts w:ascii="Arial" w:hAnsi="Arial" w:hint="default"/>
      </w:rPr>
    </w:lvl>
    <w:lvl w:ilvl="3" w:tplc="61905A5E" w:tentative="1">
      <w:start w:val="1"/>
      <w:numFmt w:val="bullet"/>
      <w:lvlText w:val="•"/>
      <w:lvlJc w:val="left"/>
      <w:pPr>
        <w:tabs>
          <w:tab w:val="num" w:pos="2880"/>
        </w:tabs>
        <w:ind w:left="2880" w:hanging="360"/>
      </w:pPr>
      <w:rPr>
        <w:rFonts w:ascii="Arial" w:hAnsi="Arial" w:hint="default"/>
      </w:rPr>
    </w:lvl>
    <w:lvl w:ilvl="4" w:tplc="5802BC10" w:tentative="1">
      <w:start w:val="1"/>
      <w:numFmt w:val="bullet"/>
      <w:lvlText w:val="•"/>
      <w:lvlJc w:val="left"/>
      <w:pPr>
        <w:tabs>
          <w:tab w:val="num" w:pos="3600"/>
        </w:tabs>
        <w:ind w:left="3600" w:hanging="360"/>
      </w:pPr>
      <w:rPr>
        <w:rFonts w:ascii="Arial" w:hAnsi="Arial" w:hint="default"/>
      </w:rPr>
    </w:lvl>
    <w:lvl w:ilvl="5" w:tplc="42D44BF0" w:tentative="1">
      <w:start w:val="1"/>
      <w:numFmt w:val="bullet"/>
      <w:lvlText w:val="•"/>
      <w:lvlJc w:val="left"/>
      <w:pPr>
        <w:tabs>
          <w:tab w:val="num" w:pos="4320"/>
        </w:tabs>
        <w:ind w:left="4320" w:hanging="360"/>
      </w:pPr>
      <w:rPr>
        <w:rFonts w:ascii="Arial" w:hAnsi="Arial" w:hint="default"/>
      </w:rPr>
    </w:lvl>
    <w:lvl w:ilvl="6" w:tplc="B92C64B2" w:tentative="1">
      <w:start w:val="1"/>
      <w:numFmt w:val="bullet"/>
      <w:lvlText w:val="•"/>
      <w:lvlJc w:val="left"/>
      <w:pPr>
        <w:tabs>
          <w:tab w:val="num" w:pos="5040"/>
        </w:tabs>
        <w:ind w:left="5040" w:hanging="360"/>
      </w:pPr>
      <w:rPr>
        <w:rFonts w:ascii="Arial" w:hAnsi="Arial" w:hint="default"/>
      </w:rPr>
    </w:lvl>
    <w:lvl w:ilvl="7" w:tplc="553C38B8" w:tentative="1">
      <w:start w:val="1"/>
      <w:numFmt w:val="bullet"/>
      <w:lvlText w:val="•"/>
      <w:lvlJc w:val="left"/>
      <w:pPr>
        <w:tabs>
          <w:tab w:val="num" w:pos="5760"/>
        </w:tabs>
        <w:ind w:left="5760" w:hanging="360"/>
      </w:pPr>
      <w:rPr>
        <w:rFonts w:ascii="Arial" w:hAnsi="Arial" w:hint="default"/>
      </w:rPr>
    </w:lvl>
    <w:lvl w:ilvl="8" w:tplc="54C0B07A" w:tentative="1">
      <w:start w:val="1"/>
      <w:numFmt w:val="bullet"/>
      <w:lvlText w:val="•"/>
      <w:lvlJc w:val="left"/>
      <w:pPr>
        <w:tabs>
          <w:tab w:val="num" w:pos="6480"/>
        </w:tabs>
        <w:ind w:left="6480" w:hanging="360"/>
      </w:pPr>
      <w:rPr>
        <w:rFonts w:ascii="Arial" w:hAnsi="Arial" w:hint="default"/>
      </w:rPr>
    </w:lvl>
  </w:abstractNum>
  <w:abstractNum w:abstractNumId="2">
    <w:nsid w:val="1AFE4947"/>
    <w:multiLevelType w:val="hybridMultilevel"/>
    <w:tmpl w:val="B6D47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CE42AC"/>
    <w:multiLevelType w:val="hybridMultilevel"/>
    <w:tmpl w:val="DF7E8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9C28E0"/>
    <w:multiLevelType w:val="hybridMultilevel"/>
    <w:tmpl w:val="9E721B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30BA7C21"/>
    <w:multiLevelType w:val="hybridMultilevel"/>
    <w:tmpl w:val="9348D1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353C0110"/>
    <w:multiLevelType w:val="hybridMultilevel"/>
    <w:tmpl w:val="FB7ECD4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87E6C6C"/>
    <w:multiLevelType w:val="hybridMultilevel"/>
    <w:tmpl w:val="9822C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A65DC5"/>
    <w:multiLevelType w:val="hybridMultilevel"/>
    <w:tmpl w:val="6CD8F9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nsid w:val="4F262BA3"/>
    <w:multiLevelType w:val="hybridMultilevel"/>
    <w:tmpl w:val="8BF60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5D292C59"/>
    <w:multiLevelType w:val="multilevel"/>
    <w:tmpl w:val="8DD0DAE4"/>
    <w:lvl w:ilvl="0">
      <w:start w:val="2"/>
      <w:numFmt w:val="decimal"/>
      <w:lvlText w:val="%1."/>
      <w:lvlJc w:val="left"/>
      <w:pPr>
        <w:tabs>
          <w:tab w:val="num" w:pos="720"/>
        </w:tabs>
        <w:ind w:left="720" w:hanging="360"/>
      </w:pPr>
      <w:rPr>
        <w:rFonts w:ascii="Segoe UI" w:hAnsi="Segoe UI" w:cs="Segoe UI" w:hint="default"/>
        <w:b w:val="0"/>
      </w:rPr>
    </w:lvl>
    <w:lvl w:ilvl="1">
      <w:start w:val="1"/>
      <w:numFmt w:val="lowerRoman"/>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0794153"/>
    <w:multiLevelType w:val="hybridMultilevel"/>
    <w:tmpl w:val="AC52460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60F01D7A"/>
    <w:multiLevelType w:val="multilevel"/>
    <w:tmpl w:val="E89A1C1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2E52BF9"/>
    <w:multiLevelType w:val="hybridMultilevel"/>
    <w:tmpl w:val="54221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648A4D6A"/>
    <w:multiLevelType w:val="hybridMultilevel"/>
    <w:tmpl w:val="3AA4E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4CA55E8"/>
    <w:multiLevelType w:val="hybridMultilevel"/>
    <w:tmpl w:val="5694E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68096F45"/>
    <w:multiLevelType w:val="hybridMultilevel"/>
    <w:tmpl w:val="10608104"/>
    <w:lvl w:ilvl="0" w:tplc="E4C4B300">
      <w:start w:val="1"/>
      <w:numFmt w:val="bullet"/>
      <w:lvlText w:val="•"/>
      <w:lvlJc w:val="left"/>
      <w:pPr>
        <w:tabs>
          <w:tab w:val="num" w:pos="720"/>
        </w:tabs>
        <w:ind w:left="720" w:hanging="360"/>
      </w:pPr>
      <w:rPr>
        <w:rFonts w:ascii="Arial" w:hAnsi="Arial" w:hint="default"/>
      </w:rPr>
    </w:lvl>
    <w:lvl w:ilvl="1" w:tplc="B38695B2" w:tentative="1">
      <w:start w:val="1"/>
      <w:numFmt w:val="bullet"/>
      <w:lvlText w:val="•"/>
      <w:lvlJc w:val="left"/>
      <w:pPr>
        <w:tabs>
          <w:tab w:val="num" w:pos="1440"/>
        </w:tabs>
        <w:ind w:left="1440" w:hanging="360"/>
      </w:pPr>
      <w:rPr>
        <w:rFonts w:ascii="Arial" w:hAnsi="Arial" w:hint="default"/>
      </w:rPr>
    </w:lvl>
    <w:lvl w:ilvl="2" w:tplc="5FACC042" w:tentative="1">
      <w:start w:val="1"/>
      <w:numFmt w:val="bullet"/>
      <w:lvlText w:val="•"/>
      <w:lvlJc w:val="left"/>
      <w:pPr>
        <w:tabs>
          <w:tab w:val="num" w:pos="2160"/>
        </w:tabs>
        <w:ind w:left="2160" w:hanging="360"/>
      </w:pPr>
      <w:rPr>
        <w:rFonts w:ascii="Arial" w:hAnsi="Arial" w:hint="default"/>
      </w:rPr>
    </w:lvl>
    <w:lvl w:ilvl="3" w:tplc="2A8E1702" w:tentative="1">
      <w:start w:val="1"/>
      <w:numFmt w:val="bullet"/>
      <w:lvlText w:val="•"/>
      <w:lvlJc w:val="left"/>
      <w:pPr>
        <w:tabs>
          <w:tab w:val="num" w:pos="2880"/>
        </w:tabs>
        <w:ind w:left="2880" w:hanging="360"/>
      </w:pPr>
      <w:rPr>
        <w:rFonts w:ascii="Arial" w:hAnsi="Arial" w:hint="default"/>
      </w:rPr>
    </w:lvl>
    <w:lvl w:ilvl="4" w:tplc="FE1AC634" w:tentative="1">
      <w:start w:val="1"/>
      <w:numFmt w:val="bullet"/>
      <w:lvlText w:val="•"/>
      <w:lvlJc w:val="left"/>
      <w:pPr>
        <w:tabs>
          <w:tab w:val="num" w:pos="3600"/>
        </w:tabs>
        <w:ind w:left="3600" w:hanging="360"/>
      </w:pPr>
      <w:rPr>
        <w:rFonts w:ascii="Arial" w:hAnsi="Arial" w:hint="default"/>
      </w:rPr>
    </w:lvl>
    <w:lvl w:ilvl="5" w:tplc="4FCC9506" w:tentative="1">
      <w:start w:val="1"/>
      <w:numFmt w:val="bullet"/>
      <w:lvlText w:val="•"/>
      <w:lvlJc w:val="left"/>
      <w:pPr>
        <w:tabs>
          <w:tab w:val="num" w:pos="4320"/>
        </w:tabs>
        <w:ind w:left="4320" w:hanging="360"/>
      </w:pPr>
      <w:rPr>
        <w:rFonts w:ascii="Arial" w:hAnsi="Arial" w:hint="default"/>
      </w:rPr>
    </w:lvl>
    <w:lvl w:ilvl="6" w:tplc="880466F8" w:tentative="1">
      <w:start w:val="1"/>
      <w:numFmt w:val="bullet"/>
      <w:lvlText w:val="•"/>
      <w:lvlJc w:val="left"/>
      <w:pPr>
        <w:tabs>
          <w:tab w:val="num" w:pos="5040"/>
        </w:tabs>
        <w:ind w:left="5040" w:hanging="360"/>
      </w:pPr>
      <w:rPr>
        <w:rFonts w:ascii="Arial" w:hAnsi="Arial" w:hint="default"/>
      </w:rPr>
    </w:lvl>
    <w:lvl w:ilvl="7" w:tplc="C854F2C8" w:tentative="1">
      <w:start w:val="1"/>
      <w:numFmt w:val="bullet"/>
      <w:lvlText w:val="•"/>
      <w:lvlJc w:val="left"/>
      <w:pPr>
        <w:tabs>
          <w:tab w:val="num" w:pos="5760"/>
        </w:tabs>
        <w:ind w:left="5760" w:hanging="360"/>
      </w:pPr>
      <w:rPr>
        <w:rFonts w:ascii="Arial" w:hAnsi="Arial" w:hint="default"/>
      </w:rPr>
    </w:lvl>
    <w:lvl w:ilvl="8" w:tplc="76180FC4" w:tentative="1">
      <w:start w:val="1"/>
      <w:numFmt w:val="bullet"/>
      <w:lvlText w:val="•"/>
      <w:lvlJc w:val="left"/>
      <w:pPr>
        <w:tabs>
          <w:tab w:val="num" w:pos="6480"/>
        </w:tabs>
        <w:ind w:left="6480" w:hanging="360"/>
      </w:pPr>
      <w:rPr>
        <w:rFonts w:ascii="Arial" w:hAnsi="Arial" w:hint="default"/>
      </w:rPr>
    </w:lvl>
  </w:abstractNum>
  <w:abstractNum w:abstractNumId="17">
    <w:nsid w:val="6F32174F"/>
    <w:multiLevelType w:val="hybridMultilevel"/>
    <w:tmpl w:val="CFC0A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7C580BF5"/>
    <w:multiLevelType w:val="hybridMultilevel"/>
    <w:tmpl w:val="DF1CCF2E"/>
    <w:lvl w:ilvl="0" w:tplc="9DE6E924">
      <w:start w:val="1"/>
      <w:numFmt w:val="bullet"/>
      <w:lvlText w:val="•"/>
      <w:lvlJc w:val="left"/>
      <w:pPr>
        <w:tabs>
          <w:tab w:val="num" w:pos="720"/>
        </w:tabs>
        <w:ind w:left="720" w:hanging="360"/>
      </w:pPr>
      <w:rPr>
        <w:rFonts w:ascii="Arial" w:hAnsi="Arial" w:hint="default"/>
      </w:rPr>
    </w:lvl>
    <w:lvl w:ilvl="1" w:tplc="A3D6FAAC" w:tentative="1">
      <w:start w:val="1"/>
      <w:numFmt w:val="bullet"/>
      <w:lvlText w:val="•"/>
      <w:lvlJc w:val="left"/>
      <w:pPr>
        <w:tabs>
          <w:tab w:val="num" w:pos="1440"/>
        </w:tabs>
        <w:ind w:left="1440" w:hanging="360"/>
      </w:pPr>
      <w:rPr>
        <w:rFonts w:ascii="Arial" w:hAnsi="Arial" w:hint="default"/>
      </w:rPr>
    </w:lvl>
    <w:lvl w:ilvl="2" w:tplc="573C0970" w:tentative="1">
      <w:start w:val="1"/>
      <w:numFmt w:val="bullet"/>
      <w:lvlText w:val="•"/>
      <w:lvlJc w:val="left"/>
      <w:pPr>
        <w:tabs>
          <w:tab w:val="num" w:pos="2160"/>
        </w:tabs>
        <w:ind w:left="2160" w:hanging="360"/>
      </w:pPr>
      <w:rPr>
        <w:rFonts w:ascii="Arial" w:hAnsi="Arial" w:hint="default"/>
      </w:rPr>
    </w:lvl>
    <w:lvl w:ilvl="3" w:tplc="8026D12A" w:tentative="1">
      <w:start w:val="1"/>
      <w:numFmt w:val="bullet"/>
      <w:lvlText w:val="•"/>
      <w:lvlJc w:val="left"/>
      <w:pPr>
        <w:tabs>
          <w:tab w:val="num" w:pos="2880"/>
        </w:tabs>
        <w:ind w:left="2880" w:hanging="360"/>
      </w:pPr>
      <w:rPr>
        <w:rFonts w:ascii="Arial" w:hAnsi="Arial" w:hint="default"/>
      </w:rPr>
    </w:lvl>
    <w:lvl w:ilvl="4" w:tplc="AE0A6620" w:tentative="1">
      <w:start w:val="1"/>
      <w:numFmt w:val="bullet"/>
      <w:lvlText w:val="•"/>
      <w:lvlJc w:val="left"/>
      <w:pPr>
        <w:tabs>
          <w:tab w:val="num" w:pos="3600"/>
        </w:tabs>
        <w:ind w:left="3600" w:hanging="360"/>
      </w:pPr>
      <w:rPr>
        <w:rFonts w:ascii="Arial" w:hAnsi="Arial" w:hint="default"/>
      </w:rPr>
    </w:lvl>
    <w:lvl w:ilvl="5" w:tplc="41582D92" w:tentative="1">
      <w:start w:val="1"/>
      <w:numFmt w:val="bullet"/>
      <w:lvlText w:val="•"/>
      <w:lvlJc w:val="left"/>
      <w:pPr>
        <w:tabs>
          <w:tab w:val="num" w:pos="4320"/>
        </w:tabs>
        <w:ind w:left="4320" w:hanging="360"/>
      </w:pPr>
      <w:rPr>
        <w:rFonts w:ascii="Arial" w:hAnsi="Arial" w:hint="default"/>
      </w:rPr>
    </w:lvl>
    <w:lvl w:ilvl="6" w:tplc="BBBED778" w:tentative="1">
      <w:start w:val="1"/>
      <w:numFmt w:val="bullet"/>
      <w:lvlText w:val="•"/>
      <w:lvlJc w:val="left"/>
      <w:pPr>
        <w:tabs>
          <w:tab w:val="num" w:pos="5040"/>
        </w:tabs>
        <w:ind w:left="5040" w:hanging="360"/>
      </w:pPr>
      <w:rPr>
        <w:rFonts w:ascii="Arial" w:hAnsi="Arial" w:hint="default"/>
      </w:rPr>
    </w:lvl>
    <w:lvl w:ilvl="7" w:tplc="D242EE5C" w:tentative="1">
      <w:start w:val="1"/>
      <w:numFmt w:val="bullet"/>
      <w:lvlText w:val="•"/>
      <w:lvlJc w:val="left"/>
      <w:pPr>
        <w:tabs>
          <w:tab w:val="num" w:pos="5760"/>
        </w:tabs>
        <w:ind w:left="5760" w:hanging="360"/>
      </w:pPr>
      <w:rPr>
        <w:rFonts w:ascii="Arial" w:hAnsi="Arial" w:hint="default"/>
      </w:rPr>
    </w:lvl>
    <w:lvl w:ilvl="8" w:tplc="E97E2746" w:tentative="1">
      <w:start w:val="1"/>
      <w:numFmt w:val="bullet"/>
      <w:lvlText w:val="•"/>
      <w:lvlJc w:val="left"/>
      <w:pPr>
        <w:tabs>
          <w:tab w:val="num" w:pos="6480"/>
        </w:tabs>
        <w:ind w:left="6480" w:hanging="360"/>
      </w:pPr>
      <w:rPr>
        <w:rFonts w:ascii="Arial" w:hAnsi="Arial"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8"/>
  </w:num>
  <w:num w:numId="4">
    <w:abstractNumId w:val="5"/>
  </w:num>
  <w:num w:numId="5">
    <w:abstractNumId w:val="7"/>
  </w:num>
  <w:num w:numId="6">
    <w:abstractNumId w:val="1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15"/>
  </w:num>
  <w:num w:numId="11">
    <w:abstractNumId w:val="5"/>
  </w:num>
  <w:num w:numId="12">
    <w:abstractNumId w:val="8"/>
  </w:num>
  <w:num w:numId="13">
    <w:abstractNumId w:val="6"/>
  </w:num>
  <w:num w:numId="14">
    <w:abstractNumId w:val="1"/>
  </w:num>
  <w:num w:numId="15">
    <w:abstractNumId w:val="16"/>
  </w:num>
  <w:num w:numId="16">
    <w:abstractNumId w:val="3"/>
  </w:num>
  <w:num w:numId="17">
    <w:abstractNumId w:val="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9"/>
  </w:num>
  <w:num w:numId="22">
    <w:abstractNumId w:val="2"/>
  </w:num>
  <w:num w:numId="2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lvlOverride w:ilvl="2"/>
    <w:lvlOverride w:ilvl="3"/>
    <w:lvlOverride w:ilvl="4"/>
    <w:lvlOverride w:ilvl="5"/>
    <w:lvlOverride w:ilvl="6"/>
    <w:lvlOverride w:ilvl="7"/>
    <w:lvlOverride w:ilvl="8"/>
  </w:num>
  <w:num w:numId="26">
    <w:abstractNumId w:val="2"/>
    <w:lvlOverride w:ilvl="0"/>
    <w:lvlOverride w:ilvl="1"/>
    <w:lvlOverride w:ilvl="2"/>
    <w:lvlOverride w:ilvl="3"/>
    <w:lvlOverride w:ilvl="4"/>
    <w:lvlOverride w:ilvl="5"/>
    <w:lvlOverride w:ilvl="6"/>
    <w:lvlOverride w:ilvl="7"/>
    <w:lvlOverride w:ilvl="8"/>
  </w:num>
  <w:num w:numId="27">
    <w:abstractNumId w:val="9"/>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02695"/>
    <w:rsid w:val="000041EA"/>
    <w:rsid w:val="00005AB6"/>
    <w:rsid w:val="000063E5"/>
    <w:rsid w:val="00006E41"/>
    <w:rsid w:val="00007E73"/>
    <w:rsid w:val="00007F05"/>
    <w:rsid w:val="000108DA"/>
    <w:rsid w:val="000127F5"/>
    <w:rsid w:val="00013A9A"/>
    <w:rsid w:val="000142E7"/>
    <w:rsid w:val="00015B58"/>
    <w:rsid w:val="00016BB8"/>
    <w:rsid w:val="000205C6"/>
    <w:rsid w:val="00020E35"/>
    <w:rsid w:val="0002105C"/>
    <w:rsid w:val="0002213D"/>
    <w:rsid w:val="00022A5E"/>
    <w:rsid w:val="00023C15"/>
    <w:rsid w:val="00027720"/>
    <w:rsid w:val="000279B8"/>
    <w:rsid w:val="00034536"/>
    <w:rsid w:val="00037819"/>
    <w:rsid w:val="00040FFA"/>
    <w:rsid w:val="000414D8"/>
    <w:rsid w:val="000428A8"/>
    <w:rsid w:val="00046B09"/>
    <w:rsid w:val="000504EC"/>
    <w:rsid w:val="00050952"/>
    <w:rsid w:val="00051BA9"/>
    <w:rsid w:val="00051C38"/>
    <w:rsid w:val="0005246F"/>
    <w:rsid w:val="0005393C"/>
    <w:rsid w:val="000542AF"/>
    <w:rsid w:val="0005435E"/>
    <w:rsid w:val="0005451F"/>
    <w:rsid w:val="00054B3B"/>
    <w:rsid w:val="000555AF"/>
    <w:rsid w:val="00055952"/>
    <w:rsid w:val="00057676"/>
    <w:rsid w:val="00064715"/>
    <w:rsid w:val="00070AF0"/>
    <w:rsid w:val="00071643"/>
    <w:rsid w:val="00073BDB"/>
    <w:rsid w:val="00074369"/>
    <w:rsid w:val="000758F7"/>
    <w:rsid w:val="00075FB8"/>
    <w:rsid w:val="0007631A"/>
    <w:rsid w:val="00076B78"/>
    <w:rsid w:val="00077A95"/>
    <w:rsid w:val="00077CAF"/>
    <w:rsid w:val="00080EE5"/>
    <w:rsid w:val="00083A85"/>
    <w:rsid w:val="000852D1"/>
    <w:rsid w:val="00085881"/>
    <w:rsid w:val="0009109B"/>
    <w:rsid w:val="000929CF"/>
    <w:rsid w:val="000929E8"/>
    <w:rsid w:val="00092F9F"/>
    <w:rsid w:val="00093EDE"/>
    <w:rsid w:val="000947AA"/>
    <w:rsid w:val="00095079"/>
    <w:rsid w:val="00096B95"/>
    <w:rsid w:val="00097314"/>
    <w:rsid w:val="00097A22"/>
    <w:rsid w:val="00097AE2"/>
    <w:rsid w:val="00097B5C"/>
    <w:rsid w:val="000A0058"/>
    <w:rsid w:val="000A013E"/>
    <w:rsid w:val="000A0E2E"/>
    <w:rsid w:val="000A1E8F"/>
    <w:rsid w:val="000A30B3"/>
    <w:rsid w:val="000A33D8"/>
    <w:rsid w:val="000A4FBD"/>
    <w:rsid w:val="000A500F"/>
    <w:rsid w:val="000A57F6"/>
    <w:rsid w:val="000A7E31"/>
    <w:rsid w:val="000B10A6"/>
    <w:rsid w:val="000B14E4"/>
    <w:rsid w:val="000B312B"/>
    <w:rsid w:val="000B3532"/>
    <w:rsid w:val="000B4931"/>
    <w:rsid w:val="000B4ADE"/>
    <w:rsid w:val="000B659B"/>
    <w:rsid w:val="000B68B0"/>
    <w:rsid w:val="000B6A4D"/>
    <w:rsid w:val="000B6F81"/>
    <w:rsid w:val="000B7051"/>
    <w:rsid w:val="000B71B5"/>
    <w:rsid w:val="000B774A"/>
    <w:rsid w:val="000C1AB9"/>
    <w:rsid w:val="000C228A"/>
    <w:rsid w:val="000C3906"/>
    <w:rsid w:val="000C7812"/>
    <w:rsid w:val="000D1E63"/>
    <w:rsid w:val="000D2471"/>
    <w:rsid w:val="000D2726"/>
    <w:rsid w:val="000D46CB"/>
    <w:rsid w:val="000D5903"/>
    <w:rsid w:val="000D5CD5"/>
    <w:rsid w:val="000D5D32"/>
    <w:rsid w:val="000D6125"/>
    <w:rsid w:val="000D6FE6"/>
    <w:rsid w:val="000E0F76"/>
    <w:rsid w:val="000E1293"/>
    <w:rsid w:val="000E1E30"/>
    <w:rsid w:val="000E34DE"/>
    <w:rsid w:val="000E5B0E"/>
    <w:rsid w:val="000E7BEF"/>
    <w:rsid w:val="000E7F4B"/>
    <w:rsid w:val="000F17CB"/>
    <w:rsid w:val="000F4BD7"/>
    <w:rsid w:val="000F4D21"/>
    <w:rsid w:val="000F7F9E"/>
    <w:rsid w:val="00100009"/>
    <w:rsid w:val="00100FCD"/>
    <w:rsid w:val="001014BE"/>
    <w:rsid w:val="001017EA"/>
    <w:rsid w:val="00101D59"/>
    <w:rsid w:val="00101D83"/>
    <w:rsid w:val="0010290D"/>
    <w:rsid w:val="00104411"/>
    <w:rsid w:val="00106531"/>
    <w:rsid w:val="00106563"/>
    <w:rsid w:val="001101CB"/>
    <w:rsid w:val="0011061E"/>
    <w:rsid w:val="001163D7"/>
    <w:rsid w:val="00117F97"/>
    <w:rsid w:val="0012172F"/>
    <w:rsid w:val="001242D6"/>
    <w:rsid w:val="00125763"/>
    <w:rsid w:val="0012659C"/>
    <w:rsid w:val="00126EC1"/>
    <w:rsid w:val="001316E9"/>
    <w:rsid w:val="00133F94"/>
    <w:rsid w:val="00134861"/>
    <w:rsid w:val="00135471"/>
    <w:rsid w:val="00135EFD"/>
    <w:rsid w:val="00136875"/>
    <w:rsid w:val="00142154"/>
    <w:rsid w:val="001434EB"/>
    <w:rsid w:val="00144A21"/>
    <w:rsid w:val="0014540A"/>
    <w:rsid w:val="00146C25"/>
    <w:rsid w:val="00147187"/>
    <w:rsid w:val="0015019C"/>
    <w:rsid w:val="00152AC7"/>
    <w:rsid w:val="00154400"/>
    <w:rsid w:val="00160FC3"/>
    <w:rsid w:val="00162672"/>
    <w:rsid w:val="0016271F"/>
    <w:rsid w:val="00165D2F"/>
    <w:rsid w:val="00166E61"/>
    <w:rsid w:val="0017217D"/>
    <w:rsid w:val="00175262"/>
    <w:rsid w:val="00176D68"/>
    <w:rsid w:val="001901CE"/>
    <w:rsid w:val="0019159A"/>
    <w:rsid w:val="001940B6"/>
    <w:rsid w:val="00195C8B"/>
    <w:rsid w:val="00196C82"/>
    <w:rsid w:val="001978DA"/>
    <w:rsid w:val="001A0308"/>
    <w:rsid w:val="001A085C"/>
    <w:rsid w:val="001A0F57"/>
    <w:rsid w:val="001A3F8C"/>
    <w:rsid w:val="001A3FA1"/>
    <w:rsid w:val="001A4CEB"/>
    <w:rsid w:val="001B00BF"/>
    <w:rsid w:val="001B1BCD"/>
    <w:rsid w:val="001B1E40"/>
    <w:rsid w:val="001B36E3"/>
    <w:rsid w:val="001B5DE5"/>
    <w:rsid w:val="001B7F33"/>
    <w:rsid w:val="001C0133"/>
    <w:rsid w:val="001C071D"/>
    <w:rsid w:val="001C25E7"/>
    <w:rsid w:val="001C50FD"/>
    <w:rsid w:val="001C5C34"/>
    <w:rsid w:val="001C7AC9"/>
    <w:rsid w:val="001D044A"/>
    <w:rsid w:val="001D08DA"/>
    <w:rsid w:val="001D4496"/>
    <w:rsid w:val="001D4F92"/>
    <w:rsid w:val="001D5DCE"/>
    <w:rsid w:val="001E09C8"/>
    <w:rsid w:val="001E39E6"/>
    <w:rsid w:val="001E4CD8"/>
    <w:rsid w:val="001E6901"/>
    <w:rsid w:val="001E6914"/>
    <w:rsid w:val="001E715D"/>
    <w:rsid w:val="001E7E4F"/>
    <w:rsid w:val="001F0685"/>
    <w:rsid w:val="001F2D3E"/>
    <w:rsid w:val="001F2D5E"/>
    <w:rsid w:val="001F551C"/>
    <w:rsid w:val="001F76ED"/>
    <w:rsid w:val="001F7AB2"/>
    <w:rsid w:val="00202B67"/>
    <w:rsid w:val="00202CBC"/>
    <w:rsid w:val="0020317F"/>
    <w:rsid w:val="002032F3"/>
    <w:rsid w:val="00203AF0"/>
    <w:rsid w:val="00204AC6"/>
    <w:rsid w:val="0020669F"/>
    <w:rsid w:val="00210A91"/>
    <w:rsid w:val="00211195"/>
    <w:rsid w:val="00213FDD"/>
    <w:rsid w:val="00217E32"/>
    <w:rsid w:val="00220B38"/>
    <w:rsid w:val="002216FC"/>
    <w:rsid w:val="00221DFE"/>
    <w:rsid w:val="00221E47"/>
    <w:rsid w:val="002224F5"/>
    <w:rsid w:val="00222934"/>
    <w:rsid w:val="00224711"/>
    <w:rsid w:val="00224D80"/>
    <w:rsid w:val="0022680A"/>
    <w:rsid w:val="002321A9"/>
    <w:rsid w:val="0023509B"/>
    <w:rsid w:val="0023675D"/>
    <w:rsid w:val="00236DC2"/>
    <w:rsid w:val="00240CE2"/>
    <w:rsid w:val="00241025"/>
    <w:rsid w:val="00243FA6"/>
    <w:rsid w:val="0024590E"/>
    <w:rsid w:val="00246329"/>
    <w:rsid w:val="0024791A"/>
    <w:rsid w:val="002535E3"/>
    <w:rsid w:val="00253A72"/>
    <w:rsid w:val="00254298"/>
    <w:rsid w:val="0025461D"/>
    <w:rsid w:val="00255C85"/>
    <w:rsid w:val="00256E0C"/>
    <w:rsid w:val="002575F3"/>
    <w:rsid w:val="00260D47"/>
    <w:rsid w:val="002619EF"/>
    <w:rsid w:val="00261EC7"/>
    <w:rsid w:val="00262376"/>
    <w:rsid w:val="00262C9E"/>
    <w:rsid w:val="0027070A"/>
    <w:rsid w:val="00271046"/>
    <w:rsid w:val="00273F30"/>
    <w:rsid w:val="00274305"/>
    <w:rsid w:val="0027486C"/>
    <w:rsid w:val="00275044"/>
    <w:rsid w:val="00277544"/>
    <w:rsid w:val="0027781C"/>
    <w:rsid w:val="00277921"/>
    <w:rsid w:val="00280732"/>
    <w:rsid w:val="00280805"/>
    <w:rsid w:val="0028195B"/>
    <w:rsid w:val="00281C43"/>
    <w:rsid w:val="00282028"/>
    <w:rsid w:val="00282DE6"/>
    <w:rsid w:val="002830D4"/>
    <w:rsid w:val="002848CB"/>
    <w:rsid w:val="0028695A"/>
    <w:rsid w:val="00290622"/>
    <w:rsid w:val="002922C5"/>
    <w:rsid w:val="0029276D"/>
    <w:rsid w:val="00293F11"/>
    <w:rsid w:val="00294190"/>
    <w:rsid w:val="002949A2"/>
    <w:rsid w:val="00295397"/>
    <w:rsid w:val="002970A5"/>
    <w:rsid w:val="002A2DB5"/>
    <w:rsid w:val="002A33B5"/>
    <w:rsid w:val="002A4B2D"/>
    <w:rsid w:val="002A5CEA"/>
    <w:rsid w:val="002A73E8"/>
    <w:rsid w:val="002B06F5"/>
    <w:rsid w:val="002B3B9C"/>
    <w:rsid w:val="002B472B"/>
    <w:rsid w:val="002C2D18"/>
    <w:rsid w:val="002C3654"/>
    <w:rsid w:val="002C5288"/>
    <w:rsid w:val="002C5552"/>
    <w:rsid w:val="002D1A09"/>
    <w:rsid w:val="002D2797"/>
    <w:rsid w:val="002D2D26"/>
    <w:rsid w:val="002D45AA"/>
    <w:rsid w:val="002D4EBA"/>
    <w:rsid w:val="002D52FA"/>
    <w:rsid w:val="002D5DE7"/>
    <w:rsid w:val="002D6BAE"/>
    <w:rsid w:val="002D6C2B"/>
    <w:rsid w:val="002D7E75"/>
    <w:rsid w:val="002E43C8"/>
    <w:rsid w:val="002E66D7"/>
    <w:rsid w:val="002E7294"/>
    <w:rsid w:val="002E7C3E"/>
    <w:rsid w:val="002F0369"/>
    <w:rsid w:val="002F0D48"/>
    <w:rsid w:val="002F1F0E"/>
    <w:rsid w:val="002F3870"/>
    <w:rsid w:val="002F3F06"/>
    <w:rsid w:val="002F4EEE"/>
    <w:rsid w:val="002F50F5"/>
    <w:rsid w:val="003026BF"/>
    <w:rsid w:val="00313B60"/>
    <w:rsid w:val="00317996"/>
    <w:rsid w:val="00320ABD"/>
    <w:rsid w:val="00320BC7"/>
    <w:rsid w:val="0032241A"/>
    <w:rsid w:val="0032337F"/>
    <w:rsid w:val="003239F9"/>
    <w:rsid w:val="00325BAA"/>
    <w:rsid w:val="00326ACF"/>
    <w:rsid w:val="003277D9"/>
    <w:rsid w:val="00327F10"/>
    <w:rsid w:val="00335289"/>
    <w:rsid w:val="00335352"/>
    <w:rsid w:val="00336064"/>
    <w:rsid w:val="003369F8"/>
    <w:rsid w:val="00336DD5"/>
    <w:rsid w:val="00336E47"/>
    <w:rsid w:val="003400EE"/>
    <w:rsid w:val="003417D5"/>
    <w:rsid w:val="00342133"/>
    <w:rsid w:val="003428CB"/>
    <w:rsid w:val="00343E12"/>
    <w:rsid w:val="00344787"/>
    <w:rsid w:val="00345670"/>
    <w:rsid w:val="00345704"/>
    <w:rsid w:val="00351E15"/>
    <w:rsid w:val="00351E5B"/>
    <w:rsid w:val="003523A5"/>
    <w:rsid w:val="003525EC"/>
    <w:rsid w:val="0035319D"/>
    <w:rsid w:val="00353FD4"/>
    <w:rsid w:val="00355D01"/>
    <w:rsid w:val="00355DF5"/>
    <w:rsid w:val="00355FF2"/>
    <w:rsid w:val="003567AA"/>
    <w:rsid w:val="00363128"/>
    <w:rsid w:val="00365742"/>
    <w:rsid w:val="00370A7B"/>
    <w:rsid w:val="0037463A"/>
    <w:rsid w:val="00374B9A"/>
    <w:rsid w:val="00377DAB"/>
    <w:rsid w:val="003835F2"/>
    <w:rsid w:val="003837FA"/>
    <w:rsid w:val="00383CCD"/>
    <w:rsid w:val="00384494"/>
    <w:rsid w:val="003902AA"/>
    <w:rsid w:val="00390C37"/>
    <w:rsid w:val="00392B78"/>
    <w:rsid w:val="00394F65"/>
    <w:rsid w:val="00394FF5"/>
    <w:rsid w:val="003971F6"/>
    <w:rsid w:val="003A02CD"/>
    <w:rsid w:val="003A0C29"/>
    <w:rsid w:val="003A1B75"/>
    <w:rsid w:val="003A2014"/>
    <w:rsid w:val="003A3947"/>
    <w:rsid w:val="003A5B71"/>
    <w:rsid w:val="003A68D4"/>
    <w:rsid w:val="003B3D63"/>
    <w:rsid w:val="003B5EDD"/>
    <w:rsid w:val="003B6576"/>
    <w:rsid w:val="003B6704"/>
    <w:rsid w:val="003B6FAD"/>
    <w:rsid w:val="003C0372"/>
    <w:rsid w:val="003C4CDE"/>
    <w:rsid w:val="003C5BEE"/>
    <w:rsid w:val="003C71F1"/>
    <w:rsid w:val="003D1204"/>
    <w:rsid w:val="003D16CD"/>
    <w:rsid w:val="003D284C"/>
    <w:rsid w:val="003D2DA1"/>
    <w:rsid w:val="003D51E4"/>
    <w:rsid w:val="003D6152"/>
    <w:rsid w:val="003D7103"/>
    <w:rsid w:val="003E293D"/>
    <w:rsid w:val="003E4602"/>
    <w:rsid w:val="003E54D2"/>
    <w:rsid w:val="003E6B90"/>
    <w:rsid w:val="003F0267"/>
    <w:rsid w:val="003F0941"/>
    <w:rsid w:val="003F1AE7"/>
    <w:rsid w:val="003F38A8"/>
    <w:rsid w:val="003F620C"/>
    <w:rsid w:val="00406145"/>
    <w:rsid w:val="00406F60"/>
    <w:rsid w:val="00407B7E"/>
    <w:rsid w:val="00410C29"/>
    <w:rsid w:val="00413608"/>
    <w:rsid w:val="00415407"/>
    <w:rsid w:val="00415CB0"/>
    <w:rsid w:val="00415D97"/>
    <w:rsid w:val="00416167"/>
    <w:rsid w:val="004167F7"/>
    <w:rsid w:val="004225D9"/>
    <w:rsid w:val="0042358A"/>
    <w:rsid w:val="00423CB2"/>
    <w:rsid w:val="00432E0B"/>
    <w:rsid w:val="00433C49"/>
    <w:rsid w:val="00434086"/>
    <w:rsid w:val="004350B8"/>
    <w:rsid w:val="004354D2"/>
    <w:rsid w:val="00440DC2"/>
    <w:rsid w:val="00441E43"/>
    <w:rsid w:val="00442349"/>
    <w:rsid w:val="00445F1A"/>
    <w:rsid w:val="00446E9B"/>
    <w:rsid w:val="00450BAA"/>
    <w:rsid w:val="0045148C"/>
    <w:rsid w:val="00451731"/>
    <w:rsid w:val="00452635"/>
    <w:rsid w:val="00453A53"/>
    <w:rsid w:val="0045408D"/>
    <w:rsid w:val="00455F3A"/>
    <w:rsid w:val="004564DB"/>
    <w:rsid w:val="00457970"/>
    <w:rsid w:val="0046102C"/>
    <w:rsid w:val="00461292"/>
    <w:rsid w:val="00462D30"/>
    <w:rsid w:val="004637DC"/>
    <w:rsid w:val="0046636A"/>
    <w:rsid w:val="00471AC6"/>
    <w:rsid w:val="00474506"/>
    <w:rsid w:val="004745AC"/>
    <w:rsid w:val="0047481A"/>
    <w:rsid w:val="00474ED8"/>
    <w:rsid w:val="004757F0"/>
    <w:rsid w:val="00476863"/>
    <w:rsid w:val="00476D92"/>
    <w:rsid w:val="00480C38"/>
    <w:rsid w:val="00480F46"/>
    <w:rsid w:val="004828DD"/>
    <w:rsid w:val="00485538"/>
    <w:rsid w:val="00486571"/>
    <w:rsid w:val="00486A56"/>
    <w:rsid w:val="00490241"/>
    <w:rsid w:val="0049112E"/>
    <w:rsid w:val="0049175D"/>
    <w:rsid w:val="00492125"/>
    <w:rsid w:val="004927B4"/>
    <w:rsid w:val="004949FA"/>
    <w:rsid w:val="004951B0"/>
    <w:rsid w:val="00495D40"/>
    <w:rsid w:val="00496CB3"/>
    <w:rsid w:val="004977D1"/>
    <w:rsid w:val="004A2E7B"/>
    <w:rsid w:val="004A4B5D"/>
    <w:rsid w:val="004A6C48"/>
    <w:rsid w:val="004A71D8"/>
    <w:rsid w:val="004B0DEB"/>
    <w:rsid w:val="004B11B0"/>
    <w:rsid w:val="004B2D7E"/>
    <w:rsid w:val="004B30BC"/>
    <w:rsid w:val="004B3EAD"/>
    <w:rsid w:val="004B4D83"/>
    <w:rsid w:val="004B51FD"/>
    <w:rsid w:val="004B6FBB"/>
    <w:rsid w:val="004B73D3"/>
    <w:rsid w:val="004B73F8"/>
    <w:rsid w:val="004C0454"/>
    <w:rsid w:val="004C133A"/>
    <w:rsid w:val="004C26FF"/>
    <w:rsid w:val="004C2C8B"/>
    <w:rsid w:val="004C30E9"/>
    <w:rsid w:val="004C5069"/>
    <w:rsid w:val="004C6F8A"/>
    <w:rsid w:val="004C7524"/>
    <w:rsid w:val="004D2456"/>
    <w:rsid w:val="004D251E"/>
    <w:rsid w:val="004D2750"/>
    <w:rsid w:val="004D3442"/>
    <w:rsid w:val="004D347A"/>
    <w:rsid w:val="004D6C50"/>
    <w:rsid w:val="004E12C9"/>
    <w:rsid w:val="004E14AB"/>
    <w:rsid w:val="004E3F8A"/>
    <w:rsid w:val="004E4238"/>
    <w:rsid w:val="004E538F"/>
    <w:rsid w:val="004E5E4F"/>
    <w:rsid w:val="004E61F9"/>
    <w:rsid w:val="004E6BD3"/>
    <w:rsid w:val="004E74D0"/>
    <w:rsid w:val="004F1064"/>
    <w:rsid w:val="004F2CAD"/>
    <w:rsid w:val="004F3039"/>
    <w:rsid w:val="004F3936"/>
    <w:rsid w:val="004F4128"/>
    <w:rsid w:val="004F4611"/>
    <w:rsid w:val="004F4B4E"/>
    <w:rsid w:val="004F4BBA"/>
    <w:rsid w:val="004F4C73"/>
    <w:rsid w:val="004F765D"/>
    <w:rsid w:val="005010EF"/>
    <w:rsid w:val="00501A83"/>
    <w:rsid w:val="00501AA1"/>
    <w:rsid w:val="00503C2D"/>
    <w:rsid w:val="005041AA"/>
    <w:rsid w:val="0050450F"/>
    <w:rsid w:val="00504C54"/>
    <w:rsid w:val="00510F4B"/>
    <w:rsid w:val="0051153D"/>
    <w:rsid w:val="00512B72"/>
    <w:rsid w:val="0051376D"/>
    <w:rsid w:val="00513847"/>
    <w:rsid w:val="0051594B"/>
    <w:rsid w:val="005159E4"/>
    <w:rsid w:val="00515A10"/>
    <w:rsid w:val="00516231"/>
    <w:rsid w:val="005173A8"/>
    <w:rsid w:val="00517E27"/>
    <w:rsid w:val="00517F57"/>
    <w:rsid w:val="005202B1"/>
    <w:rsid w:val="005214AE"/>
    <w:rsid w:val="005233AA"/>
    <w:rsid w:val="00523933"/>
    <w:rsid w:val="00524C14"/>
    <w:rsid w:val="00524D58"/>
    <w:rsid w:val="005306DE"/>
    <w:rsid w:val="00532BF9"/>
    <w:rsid w:val="0053370A"/>
    <w:rsid w:val="00533ED6"/>
    <w:rsid w:val="0053433F"/>
    <w:rsid w:val="005350E8"/>
    <w:rsid w:val="00537EA6"/>
    <w:rsid w:val="005400C0"/>
    <w:rsid w:val="0054169B"/>
    <w:rsid w:val="005419F4"/>
    <w:rsid w:val="00545795"/>
    <w:rsid w:val="00551B0F"/>
    <w:rsid w:val="00553536"/>
    <w:rsid w:val="0055356D"/>
    <w:rsid w:val="00554EC8"/>
    <w:rsid w:val="00556410"/>
    <w:rsid w:val="005578D6"/>
    <w:rsid w:val="00557C29"/>
    <w:rsid w:val="00560355"/>
    <w:rsid w:val="00563DF9"/>
    <w:rsid w:val="005648DF"/>
    <w:rsid w:val="00564C14"/>
    <w:rsid w:val="00565221"/>
    <w:rsid w:val="00565B7C"/>
    <w:rsid w:val="005668EC"/>
    <w:rsid w:val="00572F7C"/>
    <w:rsid w:val="00573DA9"/>
    <w:rsid w:val="005740B9"/>
    <w:rsid w:val="005756E9"/>
    <w:rsid w:val="00577554"/>
    <w:rsid w:val="00577F2D"/>
    <w:rsid w:val="00581191"/>
    <w:rsid w:val="005830DD"/>
    <w:rsid w:val="00584BD8"/>
    <w:rsid w:val="00584F11"/>
    <w:rsid w:val="005865D8"/>
    <w:rsid w:val="005871B4"/>
    <w:rsid w:val="00592474"/>
    <w:rsid w:val="005926C9"/>
    <w:rsid w:val="00593160"/>
    <w:rsid w:val="005967E9"/>
    <w:rsid w:val="00596E0E"/>
    <w:rsid w:val="00597133"/>
    <w:rsid w:val="005A0796"/>
    <w:rsid w:val="005A1911"/>
    <w:rsid w:val="005A2F6F"/>
    <w:rsid w:val="005A3AC7"/>
    <w:rsid w:val="005A4077"/>
    <w:rsid w:val="005A4B36"/>
    <w:rsid w:val="005A7082"/>
    <w:rsid w:val="005A72BA"/>
    <w:rsid w:val="005A73A6"/>
    <w:rsid w:val="005B0821"/>
    <w:rsid w:val="005B0A0B"/>
    <w:rsid w:val="005B1A18"/>
    <w:rsid w:val="005B383F"/>
    <w:rsid w:val="005B7A5C"/>
    <w:rsid w:val="005C02E9"/>
    <w:rsid w:val="005C23E9"/>
    <w:rsid w:val="005C2F65"/>
    <w:rsid w:val="005C3FC1"/>
    <w:rsid w:val="005C48EF"/>
    <w:rsid w:val="005C6CE8"/>
    <w:rsid w:val="005D12E8"/>
    <w:rsid w:val="005D2367"/>
    <w:rsid w:val="005D3205"/>
    <w:rsid w:val="005D3499"/>
    <w:rsid w:val="005D4317"/>
    <w:rsid w:val="005D712E"/>
    <w:rsid w:val="005E0477"/>
    <w:rsid w:val="005E1126"/>
    <w:rsid w:val="005E1B0B"/>
    <w:rsid w:val="005E4C5F"/>
    <w:rsid w:val="005E53F3"/>
    <w:rsid w:val="005E75F2"/>
    <w:rsid w:val="005E7DFF"/>
    <w:rsid w:val="005F009D"/>
    <w:rsid w:val="005F0C12"/>
    <w:rsid w:val="005F136A"/>
    <w:rsid w:val="005F2560"/>
    <w:rsid w:val="005F2696"/>
    <w:rsid w:val="005F27C1"/>
    <w:rsid w:val="005F2BCB"/>
    <w:rsid w:val="005F322D"/>
    <w:rsid w:val="005F54B6"/>
    <w:rsid w:val="005F5CFB"/>
    <w:rsid w:val="005F6499"/>
    <w:rsid w:val="006018D4"/>
    <w:rsid w:val="006034CB"/>
    <w:rsid w:val="00603EC4"/>
    <w:rsid w:val="006055FC"/>
    <w:rsid w:val="006126AD"/>
    <w:rsid w:val="006129B9"/>
    <w:rsid w:val="00615A6F"/>
    <w:rsid w:val="006161A5"/>
    <w:rsid w:val="0061746E"/>
    <w:rsid w:val="0061773F"/>
    <w:rsid w:val="0062270D"/>
    <w:rsid w:val="00625DC8"/>
    <w:rsid w:val="00626CF8"/>
    <w:rsid w:val="006319D2"/>
    <w:rsid w:val="00632DC0"/>
    <w:rsid w:val="00635125"/>
    <w:rsid w:val="00635E79"/>
    <w:rsid w:val="00636EDF"/>
    <w:rsid w:val="00637069"/>
    <w:rsid w:val="006370FF"/>
    <w:rsid w:val="00641DEB"/>
    <w:rsid w:val="00642DEB"/>
    <w:rsid w:val="006434BB"/>
    <w:rsid w:val="00644410"/>
    <w:rsid w:val="006445BF"/>
    <w:rsid w:val="00645635"/>
    <w:rsid w:val="00645CB9"/>
    <w:rsid w:val="006461D1"/>
    <w:rsid w:val="006467AD"/>
    <w:rsid w:val="00647E6C"/>
    <w:rsid w:val="006519C8"/>
    <w:rsid w:val="006526A2"/>
    <w:rsid w:val="00653472"/>
    <w:rsid w:val="0065566C"/>
    <w:rsid w:val="00662454"/>
    <w:rsid w:val="00662460"/>
    <w:rsid w:val="0066373E"/>
    <w:rsid w:val="00666349"/>
    <w:rsid w:val="00671AC4"/>
    <w:rsid w:val="0067389A"/>
    <w:rsid w:val="0067695B"/>
    <w:rsid w:val="00680C0E"/>
    <w:rsid w:val="006820B6"/>
    <w:rsid w:val="006824EF"/>
    <w:rsid w:val="00683E5C"/>
    <w:rsid w:val="00684BAA"/>
    <w:rsid w:val="0069052E"/>
    <w:rsid w:val="00691E52"/>
    <w:rsid w:val="00691F03"/>
    <w:rsid w:val="0069428E"/>
    <w:rsid w:val="00695476"/>
    <w:rsid w:val="006979AF"/>
    <w:rsid w:val="006A1279"/>
    <w:rsid w:val="006A3C01"/>
    <w:rsid w:val="006A4B7C"/>
    <w:rsid w:val="006A4F4B"/>
    <w:rsid w:val="006A5BF4"/>
    <w:rsid w:val="006A5DEF"/>
    <w:rsid w:val="006A60CB"/>
    <w:rsid w:val="006A6156"/>
    <w:rsid w:val="006A6218"/>
    <w:rsid w:val="006B5FA4"/>
    <w:rsid w:val="006B6B4F"/>
    <w:rsid w:val="006C57EE"/>
    <w:rsid w:val="006C72F2"/>
    <w:rsid w:val="006D0351"/>
    <w:rsid w:val="006D26F2"/>
    <w:rsid w:val="006D5B3B"/>
    <w:rsid w:val="006E0BEA"/>
    <w:rsid w:val="006E46F1"/>
    <w:rsid w:val="006E7848"/>
    <w:rsid w:val="006F54D0"/>
    <w:rsid w:val="006F6393"/>
    <w:rsid w:val="006F675A"/>
    <w:rsid w:val="006F7A41"/>
    <w:rsid w:val="007003D9"/>
    <w:rsid w:val="00700793"/>
    <w:rsid w:val="007023B2"/>
    <w:rsid w:val="0070712B"/>
    <w:rsid w:val="00710BD9"/>
    <w:rsid w:val="00711F44"/>
    <w:rsid w:val="00712B22"/>
    <w:rsid w:val="0071374F"/>
    <w:rsid w:val="007148DF"/>
    <w:rsid w:val="00714A06"/>
    <w:rsid w:val="00714BEA"/>
    <w:rsid w:val="00714C94"/>
    <w:rsid w:val="00715C38"/>
    <w:rsid w:val="00716278"/>
    <w:rsid w:val="00720780"/>
    <w:rsid w:val="00720C13"/>
    <w:rsid w:val="00720D2A"/>
    <w:rsid w:val="007210AE"/>
    <w:rsid w:val="00721321"/>
    <w:rsid w:val="0072613B"/>
    <w:rsid w:val="00730BA8"/>
    <w:rsid w:val="0073522A"/>
    <w:rsid w:val="007353F9"/>
    <w:rsid w:val="00735D39"/>
    <w:rsid w:val="0074007F"/>
    <w:rsid w:val="007405B0"/>
    <w:rsid w:val="00743143"/>
    <w:rsid w:val="00745A50"/>
    <w:rsid w:val="00747431"/>
    <w:rsid w:val="007475B8"/>
    <w:rsid w:val="0075066D"/>
    <w:rsid w:val="007509C4"/>
    <w:rsid w:val="007577DD"/>
    <w:rsid w:val="0076323A"/>
    <w:rsid w:val="0076340F"/>
    <w:rsid w:val="0076411B"/>
    <w:rsid w:val="00764996"/>
    <w:rsid w:val="00766A38"/>
    <w:rsid w:val="00767B07"/>
    <w:rsid w:val="007701AE"/>
    <w:rsid w:val="007734A0"/>
    <w:rsid w:val="0077561B"/>
    <w:rsid w:val="007756EB"/>
    <w:rsid w:val="0077747B"/>
    <w:rsid w:val="00780971"/>
    <w:rsid w:val="00783DA1"/>
    <w:rsid w:val="00784489"/>
    <w:rsid w:val="00784F17"/>
    <w:rsid w:val="00791FBF"/>
    <w:rsid w:val="00792E8B"/>
    <w:rsid w:val="00793567"/>
    <w:rsid w:val="00795229"/>
    <w:rsid w:val="00796C50"/>
    <w:rsid w:val="007A1C9C"/>
    <w:rsid w:val="007A1F4A"/>
    <w:rsid w:val="007A5D48"/>
    <w:rsid w:val="007A7527"/>
    <w:rsid w:val="007A7FDB"/>
    <w:rsid w:val="007C0135"/>
    <w:rsid w:val="007C0E3E"/>
    <w:rsid w:val="007C0EB8"/>
    <w:rsid w:val="007C1577"/>
    <w:rsid w:val="007C191E"/>
    <w:rsid w:val="007C1F2B"/>
    <w:rsid w:val="007C51E2"/>
    <w:rsid w:val="007D1283"/>
    <w:rsid w:val="007D1708"/>
    <w:rsid w:val="007D2A62"/>
    <w:rsid w:val="007D2C02"/>
    <w:rsid w:val="007D33CA"/>
    <w:rsid w:val="007D3912"/>
    <w:rsid w:val="007D3D5F"/>
    <w:rsid w:val="007D3E5C"/>
    <w:rsid w:val="007D40CB"/>
    <w:rsid w:val="007D616C"/>
    <w:rsid w:val="007D6DB6"/>
    <w:rsid w:val="007E058E"/>
    <w:rsid w:val="007E08E5"/>
    <w:rsid w:val="007E09E8"/>
    <w:rsid w:val="007E17F5"/>
    <w:rsid w:val="007E3BA0"/>
    <w:rsid w:val="007E677F"/>
    <w:rsid w:val="007E6C41"/>
    <w:rsid w:val="007E6FFC"/>
    <w:rsid w:val="007E7F2B"/>
    <w:rsid w:val="007F1245"/>
    <w:rsid w:val="007F2652"/>
    <w:rsid w:val="007F37BD"/>
    <w:rsid w:val="007F4AF6"/>
    <w:rsid w:val="007F5BA3"/>
    <w:rsid w:val="007F5F6B"/>
    <w:rsid w:val="007F6721"/>
    <w:rsid w:val="0080073C"/>
    <w:rsid w:val="008013AD"/>
    <w:rsid w:val="0080178E"/>
    <w:rsid w:val="00802351"/>
    <w:rsid w:val="00803107"/>
    <w:rsid w:val="008038F7"/>
    <w:rsid w:val="00804ABD"/>
    <w:rsid w:val="00806212"/>
    <w:rsid w:val="0080658E"/>
    <w:rsid w:val="00807495"/>
    <w:rsid w:val="008107C8"/>
    <w:rsid w:val="00811A73"/>
    <w:rsid w:val="0081626A"/>
    <w:rsid w:val="00820E1E"/>
    <w:rsid w:val="0082121E"/>
    <w:rsid w:val="00821522"/>
    <w:rsid w:val="00821C45"/>
    <w:rsid w:val="00821D01"/>
    <w:rsid w:val="00823523"/>
    <w:rsid w:val="008237E8"/>
    <w:rsid w:val="00824BC0"/>
    <w:rsid w:val="008250C5"/>
    <w:rsid w:val="0082528C"/>
    <w:rsid w:val="00826016"/>
    <w:rsid w:val="00827A83"/>
    <w:rsid w:val="00830263"/>
    <w:rsid w:val="00831EF6"/>
    <w:rsid w:val="008323C0"/>
    <w:rsid w:val="008327C0"/>
    <w:rsid w:val="0083565E"/>
    <w:rsid w:val="008369DB"/>
    <w:rsid w:val="00836A79"/>
    <w:rsid w:val="00840856"/>
    <w:rsid w:val="00840D5F"/>
    <w:rsid w:val="00840FE0"/>
    <w:rsid w:val="0084218D"/>
    <w:rsid w:val="00843A2E"/>
    <w:rsid w:val="00843C47"/>
    <w:rsid w:val="00843CAF"/>
    <w:rsid w:val="00844C77"/>
    <w:rsid w:val="00846C74"/>
    <w:rsid w:val="008471D3"/>
    <w:rsid w:val="008554E6"/>
    <w:rsid w:val="008555B6"/>
    <w:rsid w:val="00855AF4"/>
    <w:rsid w:val="008568E3"/>
    <w:rsid w:val="00860219"/>
    <w:rsid w:val="00860DD3"/>
    <w:rsid w:val="00861643"/>
    <w:rsid w:val="008633B9"/>
    <w:rsid w:val="0086436B"/>
    <w:rsid w:val="00865097"/>
    <w:rsid w:val="008654F4"/>
    <w:rsid w:val="008658DC"/>
    <w:rsid w:val="0086696F"/>
    <w:rsid w:val="00867BBC"/>
    <w:rsid w:val="008703C4"/>
    <w:rsid w:val="00874D7A"/>
    <w:rsid w:val="008755C8"/>
    <w:rsid w:val="008773DC"/>
    <w:rsid w:val="00877B50"/>
    <w:rsid w:val="00882BF3"/>
    <w:rsid w:val="00883436"/>
    <w:rsid w:val="0088488E"/>
    <w:rsid w:val="0088594C"/>
    <w:rsid w:val="008860BB"/>
    <w:rsid w:val="0088693C"/>
    <w:rsid w:val="00890952"/>
    <w:rsid w:val="008929CE"/>
    <w:rsid w:val="008963D9"/>
    <w:rsid w:val="00896ABE"/>
    <w:rsid w:val="00896E5B"/>
    <w:rsid w:val="00897AA7"/>
    <w:rsid w:val="008A0845"/>
    <w:rsid w:val="008A27AB"/>
    <w:rsid w:val="008A59CD"/>
    <w:rsid w:val="008B1952"/>
    <w:rsid w:val="008B1CFF"/>
    <w:rsid w:val="008B2574"/>
    <w:rsid w:val="008B367C"/>
    <w:rsid w:val="008C27E5"/>
    <w:rsid w:val="008C312D"/>
    <w:rsid w:val="008C461C"/>
    <w:rsid w:val="008D1098"/>
    <w:rsid w:val="008D14E5"/>
    <w:rsid w:val="008D1FCB"/>
    <w:rsid w:val="008D363B"/>
    <w:rsid w:val="008D3E3E"/>
    <w:rsid w:val="008D4EA9"/>
    <w:rsid w:val="008D5499"/>
    <w:rsid w:val="008D5FDB"/>
    <w:rsid w:val="008D67A5"/>
    <w:rsid w:val="008D686D"/>
    <w:rsid w:val="008E08FF"/>
    <w:rsid w:val="008E1527"/>
    <w:rsid w:val="008E217E"/>
    <w:rsid w:val="008E73A9"/>
    <w:rsid w:val="008F04BB"/>
    <w:rsid w:val="008F1FBE"/>
    <w:rsid w:val="008F4936"/>
    <w:rsid w:val="008F5B6C"/>
    <w:rsid w:val="008F6241"/>
    <w:rsid w:val="008F64B6"/>
    <w:rsid w:val="008F7523"/>
    <w:rsid w:val="00902407"/>
    <w:rsid w:val="00902C54"/>
    <w:rsid w:val="00902E3F"/>
    <w:rsid w:val="00905585"/>
    <w:rsid w:val="00911106"/>
    <w:rsid w:val="0091260F"/>
    <w:rsid w:val="009128C2"/>
    <w:rsid w:val="009128DB"/>
    <w:rsid w:val="00912A3E"/>
    <w:rsid w:val="00915689"/>
    <w:rsid w:val="009175F6"/>
    <w:rsid w:val="00917616"/>
    <w:rsid w:val="009204AE"/>
    <w:rsid w:val="00921D0A"/>
    <w:rsid w:val="00922422"/>
    <w:rsid w:val="00924225"/>
    <w:rsid w:val="00925436"/>
    <w:rsid w:val="009260FE"/>
    <w:rsid w:val="009263EC"/>
    <w:rsid w:val="009325D9"/>
    <w:rsid w:val="00934C53"/>
    <w:rsid w:val="00935E71"/>
    <w:rsid w:val="009361F0"/>
    <w:rsid w:val="009364AB"/>
    <w:rsid w:val="009375F1"/>
    <w:rsid w:val="00937D48"/>
    <w:rsid w:val="00941723"/>
    <w:rsid w:val="009417EA"/>
    <w:rsid w:val="009417F7"/>
    <w:rsid w:val="00942E12"/>
    <w:rsid w:val="00944E2B"/>
    <w:rsid w:val="00946D3E"/>
    <w:rsid w:val="009472AC"/>
    <w:rsid w:val="0095131B"/>
    <w:rsid w:val="0095153A"/>
    <w:rsid w:val="009526AD"/>
    <w:rsid w:val="009547FB"/>
    <w:rsid w:val="009548DB"/>
    <w:rsid w:val="00955050"/>
    <w:rsid w:val="00957B80"/>
    <w:rsid w:val="0096246C"/>
    <w:rsid w:val="009633E6"/>
    <w:rsid w:val="00965E50"/>
    <w:rsid w:val="009661C9"/>
    <w:rsid w:val="009709EB"/>
    <w:rsid w:val="00970D9E"/>
    <w:rsid w:val="00972448"/>
    <w:rsid w:val="0097355E"/>
    <w:rsid w:val="00974D2C"/>
    <w:rsid w:val="009753E3"/>
    <w:rsid w:val="0097554A"/>
    <w:rsid w:val="00977138"/>
    <w:rsid w:val="00983122"/>
    <w:rsid w:val="0098733A"/>
    <w:rsid w:val="009873B8"/>
    <w:rsid w:val="00990A45"/>
    <w:rsid w:val="009927C0"/>
    <w:rsid w:val="00993DD5"/>
    <w:rsid w:val="00993F16"/>
    <w:rsid w:val="009955B3"/>
    <w:rsid w:val="00997B44"/>
    <w:rsid w:val="009A068A"/>
    <w:rsid w:val="009A0F8C"/>
    <w:rsid w:val="009A14A3"/>
    <w:rsid w:val="009A209F"/>
    <w:rsid w:val="009A2682"/>
    <w:rsid w:val="009A3575"/>
    <w:rsid w:val="009A3887"/>
    <w:rsid w:val="009A784F"/>
    <w:rsid w:val="009B0453"/>
    <w:rsid w:val="009B52D4"/>
    <w:rsid w:val="009B56BB"/>
    <w:rsid w:val="009C1051"/>
    <w:rsid w:val="009C2C53"/>
    <w:rsid w:val="009C3940"/>
    <w:rsid w:val="009C46E8"/>
    <w:rsid w:val="009C5FAF"/>
    <w:rsid w:val="009D0798"/>
    <w:rsid w:val="009D3E4D"/>
    <w:rsid w:val="009D4F4D"/>
    <w:rsid w:val="009D5736"/>
    <w:rsid w:val="009D78AF"/>
    <w:rsid w:val="009E21A5"/>
    <w:rsid w:val="009E22CD"/>
    <w:rsid w:val="009E356F"/>
    <w:rsid w:val="009E4028"/>
    <w:rsid w:val="009E42AA"/>
    <w:rsid w:val="009E632C"/>
    <w:rsid w:val="009E636A"/>
    <w:rsid w:val="009E7BB8"/>
    <w:rsid w:val="009F121C"/>
    <w:rsid w:val="009F18E1"/>
    <w:rsid w:val="009F1BEB"/>
    <w:rsid w:val="009F2655"/>
    <w:rsid w:val="009F4EC1"/>
    <w:rsid w:val="009F61A8"/>
    <w:rsid w:val="009F7E59"/>
    <w:rsid w:val="009F7E8E"/>
    <w:rsid w:val="00A00ADE"/>
    <w:rsid w:val="00A01F9C"/>
    <w:rsid w:val="00A03D65"/>
    <w:rsid w:val="00A04E97"/>
    <w:rsid w:val="00A06EA7"/>
    <w:rsid w:val="00A07774"/>
    <w:rsid w:val="00A10D6D"/>
    <w:rsid w:val="00A11ADB"/>
    <w:rsid w:val="00A12892"/>
    <w:rsid w:val="00A13D6A"/>
    <w:rsid w:val="00A15252"/>
    <w:rsid w:val="00A15670"/>
    <w:rsid w:val="00A16064"/>
    <w:rsid w:val="00A20C81"/>
    <w:rsid w:val="00A210F3"/>
    <w:rsid w:val="00A22ABC"/>
    <w:rsid w:val="00A22E86"/>
    <w:rsid w:val="00A2647E"/>
    <w:rsid w:val="00A3011F"/>
    <w:rsid w:val="00A32276"/>
    <w:rsid w:val="00A324F8"/>
    <w:rsid w:val="00A32E14"/>
    <w:rsid w:val="00A33815"/>
    <w:rsid w:val="00A33818"/>
    <w:rsid w:val="00A34706"/>
    <w:rsid w:val="00A3618B"/>
    <w:rsid w:val="00A4021F"/>
    <w:rsid w:val="00A40A46"/>
    <w:rsid w:val="00A42657"/>
    <w:rsid w:val="00A43096"/>
    <w:rsid w:val="00A4385B"/>
    <w:rsid w:val="00A43D5C"/>
    <w:rsid w:val="00A475C8"/>
    <w:rsid w:val="00A476B0"/>
    <w:rsid w:val="00A50FFC"/>
    <w:rsid w:val="00A5237B"/>
    <w:rsid w:val="00A53E1C"/>
    <w:rsid w:val="00A55309"/>
    <w:rsid w:val="00A56994"/>
    <w:rsid w:val="00A57B13"/>
    <w:rsid w:val="00A611CB"/>
    <w:rsid w:val="00A623DF"/>
    <w:rsid w:val="00A62FA7"/>
    <w:rsid w:val="00A65B5E"/>
    <w:rsid w:val="00A65E5A"/>
    <w:rsid w:val="00A66C43"/>
    <w:rsid w:val="00A6725A"/>
    <w:rsid w:val="00A6779F"/>
    <w:rsid w:val="00A70EE1"/>
    <w:rsid w:val="00A71B04"/>
    <w:rsid w:val="00A745CD"/>
    <w:rsid w:val="00A7485A"/>
    <w:rsid w:val="00A75230"/>
    <w:rsid w:val="00A75FC6"/>
    <w:rsid w:val="00A80C7E"/>
    <w:rsid w:val="00A81151"/>
    <w:rsid w:val="00A8247E"/>
    <w:rsid w:val="00A82F86"/>
    <w:rsid w:val="00A858E9"/>
    <w:rsid w:val="00A85D3A"/>
    <w:rsid w:val="00A87177"/>
    <w:rsid w:val="00A871F1"/>
    <w:rsid w:val="00A87FCE"/>
    <w:rsid w:val="00A90A41"/>
    <w:rsid w:val="00A91477"/>
    <w:rsid w:val="00A91A10"/>
    <w:rsid w:val="00A93B9D"/>
    <w:rsid w:val="00A94626"/>
    <w:rsid w:val="00A96E23"/>
    <w:rsid w:val="00AA0841"/>
    <w:rsid w:val="00AA0F77"/>
    <w:rsid w:val="00AA43E2"/>
    <w:rsid w:val="00AA52F0"/>
    <w:rsid w:val="00AB0214"/>
    <w:rsid w:val="00AB0647"/>
    <w:rsid w:val="00AB16F2"/>
    <w:rsid w:val="00AB42A7"/>
    <w:rsid w:val="00AB599D"/>
    <w:rsid w:val="00AB604A"/>
    <w:rsid w:val="00AC23EE"/>
    <w:rsid w:val="00AC2842"/>
    <w:rsid w:val="00AC2CE3"/>
    <w:rsid w:val="00AC2F63"/>
    <w:rsid w:val="00AC3814"/>
    <w:rsid w:val="00AC5D11"/>
    <w:rsid w:val="00AC6694"/>
    <w:rsid w:val="00AC69E0"/>
    <w:rsid w:val="00AC716C"/>
    <w:rsid w:val="00AC7AFB"/>
    <w:rsid w:val="00AC7BF4"/>
    <w:rsid w:val="00AD2D29"/>
    <w:rsid w:val="00AD2E8F"/>
    <w:rsid w:val="00AD3117"/>
    <w:rsid w:val="00AD36B8"/>
    <w:rsid w:val="00AD5146"/>
    <w:rsid w:val="00AD673F"/>
    <w:rsid w:val="00AD675B"/>
    <w:rsid w:val="00AD7A51"/>
    <w:rsid w:val="00AD7DA5"/>
    <w:rsid w:val="00AE2EB6"/>
    <w:rsid w:val="00AE5F21"/>
    <w:rsid w:val="00AE6E1A"/>
    <w:rsid w:val="00AF0562"/>
    <w:rsid w:val="00AF0DAB"/>
    <w:rsid w:val="00AF1075"/>
    <w:rsid w:val="00AF1964"/>
    <w:rsid w:val="00AF34E5"/>
    <w:rsid w:val="00AF38A2"/>
    <w:rsid w:val="00AF4AEE"/>
    <w:rsid w:val="00AF4DE8"/>
    <w:rsid w:val="00AF5BC6"/>
    <w:rsid w:val="00AF6AB9"/>
    <w:rsid w:val="00AF7B56"/>
    <w:rsid w:val="00B00FC7"/>
    <w:rsid w:val="00B02718"/>
    <w:rsid w:val="00B02F90"/>
    <w:rsid w:val="00B0654A"/>
    <w:rsid w:val="00B078F0"/>
    <w:rsid w:val="00B078F9"/>
    <w:rsid w:val="00B07A89"/>
    <w:rsid w:val="00B1065A"/>
    <w:rsid w:val="00B113DF"/>
    <w:rsid w:val="00B120E4"/>
    <w:rsid w:val="00B13319"/>
    <w:rsid w:val="00B16752"/>
    <w:rsid w:val="00B1709F"/>
    <w:rsid w:val="00B1748E"/>
    <w:rsid w:val="00B17F9B"/>
    <w:rsid w:val="00B23677"/>
    <w:rsid w:val="00B238F5"/>
    <w:rsid w:val="00B239E4"/>
    <w:rsid w:val="00B25456"/>
    <w:rsid w:val="00B26E1A"/>
    <w:rsid w:val="00B307E4"/>
    <w:rsid w:val="00B30B76"/>
    <w:rsid w:val="00B3107B"/>
    <w:rsid w:val="00B314F2"/>
    <w:rsid w:val="00B317BA"/>
    <w:rsid w:val="00B32147"/>
    <w:rsid w:val="00B33045"/>
    <w:rsid w:val="00B34D25"/>
    <w:rsid w:val="00B35DC0"/>
    <w:rsid w:val="00B3701D"/>
    <w:rsid w:val="00B40234"/>
    <w:rsid w:val="00B40CB7"/>
    <w:rsid w:val="00B43FCE"/>
    <w:rsid w:val="00B44177"/>
    <w:rsid w:val="00B47002"/>
    <w:rsid w:val="00B472DD"/>
    <w:rsid w:val="00B50588"/>
    <w:rsid w:val="00B50D5E"/>
    <w:rsid w:val="00B51F1A"/>
    <w:rsid w:val="00B51F74"/>
    <w:rsid w:val="00B52963"/>
    <w:rsid w:val="00B532D8"/>
    <w:rsid w:val="00B56D2B"/>
    <w:rsid w:val="00B61726"/>
    <w:rsid w:val="00B617A7"/>
    <w:rsid w:val="00B708DC"/>
    <w:rsid w:val="00B709FE"/>
    <w:rsid w:val="00B737FA"/>
    <w:rsid w:val="00B73A7F"/>
    <w:rsid w:val="00B7542E"/>
    <w:rsid w:val="00B75A51"/>
    <w:rsid w:val="00B77A87"/>
    <w:rsid w:val="00B77FDC"/>
    <w:rsid w:val="00B80286"/>
    <w:rsid w:val="00B81D3F"/>
    <w:rsid w:val="00B82D9D"/>
    <w:rsid w:val="00B833A0"/>
    <w:rsid w:val="00B86F1D"/>
    <w:rsid w:val="00B86F29"/>
    <w:rsid w:val="00B90077"/>
    <w:rsid w:val="00B9048E"/>
    <w:rsid w:val="00B90712"/>
    <w:rsid w:val="00B90989"/>
    <w:rsid w:val="00B90C6C"/>
    <w:rsid w:val="00B9179F"/>
    <w:rsid w:val="00B91CAE"/>
    <w:rsid w:val="00B925A2"/>
    <w:rsid w:val="00B94C05"/>
    <w:rsid w:val="00B95916"/>
    <w:rsid w:val="00B95C38"/>
    <w:rsid w:val="00B96658"/>
    <w:rsid w:val="00B96836"/>
    <w:rsid w:val="00BA0187"/>
    <w:rsid w:val="00BA217C"/>
    <w:rsid w:val="00BA4F1E"/>
    <w:rsid w:val="00BA53E5"/>
    <w:rsid w:val="00BB05A1"/>
    <w:rsid w:val="00BB24A4"/>
    <w:rsid w:val="00BB31A8"/>
    <w:rsid w:val="00BB3575"/>
    <w:rsid w:val="00BB3D17"/>
    <w:rsid w:val="00BB40F9"/>
    <w:rsid w:val="00BB4937"/>
    <w:rsid w:val="00BB4C65"/>
    <w:rsid w:val="00BB4E60"/>
    <w:rsid w:val="00BB6CF0"/>
    <w:rsid w:val="00BB746E"/>
    <w:rsid w:val="00BC2AC7"/>
    <w:rsid w:val="00BC3A6F"/>
    <w:rsid w:val="00BC488D"/>
    <w:rsid w:val="00BC49B3"/>
    <w:rsid w:val="00BC5F94"/>
    <w:rsid w:val="00BD53A0"/>
    <w:rsid w:val="00BD6160"/>
    <w:rsid w:val="00BD62FD"/>
    <w:rsid w:val="00BD7576"/>
    <w:rsid w:val="00BD7AB7"/>
    <w:rsid w:val="00BE196A"/>
    <w:rsid w:val="00BE30F1"/>
    <w:rsid w:val="00BE5629"/>
    <w:rsid w:val="00BE750D"/>
    <w:rsid w:val="00BF0905"/>
    <w:rsid w:val="00BF3171"/>
    <w:rsid w:val="00BF4B2E"/>
    <w:rsid w:val="00BF5367"/>
    <w:rsid w:val="00BF5E8C"/>
    <w:rsid w:val="00BF664A"/>
    <w:rsid w:val="00BF756B"/>
    <w:rsid w:val="00C01AC6"/>
    <w:rsid w:val="00C01C5D"/>
    <w:rsid w:val="00C0303F"/>
    <w:rsid w:val="00C03C01"/>
    <w:rsid w:val="00C0524E"/>
    <w:rsid w:val="00C05DB0"/>
    <w:rsid w:val="00C07485"/>
    <w:rsid w:val="00C1266E"/>
    <w:rsid w:val="00C128E8"/>
    <w:rsid w:val="00C16C33"/>
    <w:rsid w:val="00C17ED5"/>
    <w:rsid w:val="00C20230"/>
    <w:rsid w:val="00C21E84"/>
    <w:rsid w:val="00C22309"/>
    <w:rsid w:val="00C2242A"/>
    <w:rsid w:val="00C23820"/>
    <w:rsid w:val="00C26B36"/>
    <w:rsid w:val="00C311FF"/>
    <w:rsid w:val="00C33916"/>
    <w:rsid w:val="00C36069"/>
    <w:rsid w:val="00C415DA"/>
    <w:rsid w:val="00C44993"/>
    <w:rsid w:val="00C45AB6"/>
    <w:rsid w:val="00C47194"/>
    <w:rsid w:val="00C5185B"/>
    <w:rsid w:val="00C531E1"/>
    <w:rsid w:val="00C533B4"/>
    <w:rsid w:val="00C53C05"/>
    <w:rsid w:val="00C53F7F"/>
    <w:rsid w:val="00C56D74"/>
    <w:rsid w:val="00C57163"/>
    <w:rsid w:val="00C60B35"/>
    <w:rsid w:val="00C641BB"/>
    <w:rsid w:val="00C65048"/>
    <w:rsid w:val="00C6768F"/>
    <w:rsid w:val="00C679AD"/>
    <w:rsid w:val="00C708C7"/>
    <w:rsid w:val="00C70A80"/>
    <w:rsid w:val="00C72F4F"/>
    <w:rsid w:val="00C72F64"/>
    <w:rsid w:val="00C74A3D"/>
    <w:rsid w:val="00C765A9"/>
    <w:rsid w:val="00C77B3D"/>
    <w:rsid w:val="00C81FD4"/>
    <w:rsid w:val="00C8461B"/>
    <w:rsid w:val="00C84DFC"/>
    <w:rsid w:val="00C84F0B"/>
    <w:rsid w:val="00C8735B"/>
    <w:rsid w:val="00CA1156"/>
    <w:rsid w:val="00CA170D"/>
    <w:rsid w:val="00CA2123"/>
    <w:rsid w:val="00CA45A8"/>
    <w:rsid w:val="00CA55F3"/>
    <w:rsid w:val="00CA747B"/>
    <w:rsid w:val="00CA76F1"/>
    <w:rsid w:val="00CB183A"/>
    <w:rsid w:val="00CB38BE"/>
    <w:rsid w:val="00CB4147"/>
    <w:rsid w:val="00CB4E82"/>
    <w:rsid w:val="00CB5F5E"/>
    <w:rsid w:val="00CC03C0"/>
    <w:rsid w:val="00CC03C6"/>
    <w:rsid w:val="00CC1E2C"/>
    <w:rsid w:val="00CC226D"/>
    <w:rsid w:val="00CC3EDD"/>
    <w:rsid w:val="00CC4518"/>
    <w:rsid w:val="00CC474D"/>
    <w:rsid w:val="00CC5545"/>
    <w:rsid w:val="00CC7666"/>
    <w:rsid w:val="00CD1A7C"/>
    <w:rsid w:val="00CD1BA5"/>
    <w:rsid w:val="00CD1CAC"/>
    <w:rsid w:val="00CD2CD0"/>
    <w:rsid w:val="00CD41C7"/>
    <w:rsid w:val="00CD41E5"/>
    <w:rsid w:val="00CD4399"/>
    <w:rsid w:val="00CD49DD"/>
    <w:rsid w:val="00CD53A2"/>
    <w:rsid w:val="00CD6343"/>
    <w:rsid w:val="00CD6B58"/>
    <w:rsid w:val="00CD6EE3"/>
    <w:rsid w:val="00CD71AD"/>
    <w:rsid w:val="00CE1048"/>
    <w:rsid w:val="00CE37BD"/>
    <w:rsid w:val="00CE4C70"/>
    <w:rsid w:val="00CE7C71"/>
    <w:rsid w:val="00CF170B"/>
    <w:rsid w:val="00CF27D0"/>
    <w:rsid w:val="00CF3484"/>
    <w:rsid w:val="00CF381A"/>
    <w:rsid w:val="00CF502B"/>
    <w:rsid w:val="00CF6795"/>
    <w:rsid w:val="00D00CD8"/>
    <w:rsid w:val="00D01FC5"/>
    <w:rsid w:val="00D027EE"/>
    <w:rsid w:val="00D02E23"/>
    <w:rsid w:val="00D02FFB"/>
    <w:rsid w:val="00D040F3"/>
    <w:rsid w:val="00D04CF1"/>
    <w:rsid w:val="00D05678"/>
    <w:rsid w:val="00D05724"/>
    <w:rsid w:val="00D12564"/>
    <w:rsid w:val="00D13E07"/>
    <w:rsid w:val="00D14A85"/>
    <w:rsid w:val="00D167A9"/>
    <w:rsid w:val="00D1726D"/>
    <w:rsid w:val="00D208CE"/>
    <w:rsid w:val="00D20FCE"/>
    <w:rsid w:val="00D213B7"/>
    <w:rsid w:val="00D265DA"/>
    <w:rsid w:val="00D268D4"/>
    <w:rsid w:val="00D2748B"/>
    <w:rsid w:val="00D27858"/>
    <w:rsid w:val="00D310BB"/>
    <w:rsid w:val="00D324B2"/>
    <w:rsid w:val="00D328F9"/>
    <w:rsid w:val="00D32CF5"/>
    <w:rsid w:val="00D36CBD"/>
    <w:rsid w:val="00D42F35"/>
    <w:rsid w:val="00D45B3F"/>
    <w:rsid w:val="00D46666"/>
    <w:rsid w:val="00D50BE7"/>
    <w:rsid w:val="00D50C03"/>
    <w:rsid w:val="00D537C1"/>
    <w:rsid w:val="00D53EF9"/>
    <w:rsid w:val="00D54FA9"/>
    <w:rsid w:val="00D55ADD"/>
    <w:rsid w:val="00D55DFA"/>
    <w:rsid w:val="00D56886"/>
    <w:rsid w:val="00D57847"/>
    <w:rsid w:val="00D57CEA"/>
    <w:rsid w:val="00D57F53"/>
    <w:rsid w:val="00D647CB"/>
    <w:rsid w:val="00D72467"/>
    <w:rsid w:val="00D72C80"/>
    <w:rsid w:val="00D73E73"/>
    <w:rsid w:val="00D74025"/>
    <w:rsid w:val="00D74C03"/>
    <w:rsid w:val="00D753E5"/>
    <w:rsid w:val="00D76471"/>
    <w:rsid w:val="00D764B0"/>
    <w:rsid w:val="00D77F74"/>
    <w:rsid w:val="00D81709"/>
    <w:rsid w:val="00D82899"/>
    <w:rsid w:val="00D83A58"/>
    <w:rsid w:val="00D854AC"/>
    <w:rsid w:val="00D85725"/>
    <w:rsid w:val="00D85AE4"/>
    <w:rsid w:val="00D86434"/>
    <w:rsid w:val="00D90B9E"/>
    <w:rsid w:val="00D90E34"/>
    <w:rsid w:val="00D91E5F"/>
    <w:rsid w:val="00D93B17"/>
    <w:rsid w:val="00D97BF2"/>
    <w:rsid w:val="00DA0C47"/>
    <w:rsid w:val="00DA0FA6"/>
    <w:rsid w:val="00DA12FE"/>
    <w:rsid w:val="00DA1831"/>
    <w:rsid w:val="00DA1A38"/>
    <w:rsid w:val="00DA4541"/>
    <w:rsid w:val="00DA46AF"/>
    <w:rsid w:val="00DA6505"/>
    <w:rsid w:val="00DA6FA2"/>
    <w:rsid w:val="00DA78E1"/>
    <w:rsid w:val="00DB0D65"/>
    <w:rsid w:val="00DB133F"/>
    <w:rsid w:val="00DB1E09"/>
    <w:rsid w:val="00DB310C"/>
    <w:rsid w:val="00DB3A46"/>
    <w:rsid w:val="00DB3B49"/>
    <w:rsid w:val="00DB445F"/>
    <w:rsid w:val="00DB45B1"/>
    <w:rsid w:val="00DB4601"/>
    <w:rsid w:val="00DB7FEE"/>
    <w:rsid w:val="00DC001F"/>
    <w:rsid w:val="00DC031F"/>
    <w:rsid w:val="00DC0DEA"/>
    <w:rsid w:val="00DC3374"/>
    <w:rsid w:val="00DC38A1"/>
    <w:rsid w:val="00DC5097"/>
    <w:rsid w:val="00DD0A3B"/>
    <w:rsid w:val="00DD57D5"/>
    <w:rsid w:val="00DD7949"/>
    <w:rsid w:val="00DE0461"/>
    <w:rsid w:val="00DE1293"/>
    <w:rsid w:val="00DE16D5"/>
    <w:rsid w:val="00DE170D"/>
    <w:rsid w:val="00DE3F21"/>
    <w:rsid w:val="00DE41BF"/>
    <w:rsid w:val="00DE4562"/>
    <w:rsid w:val="00DE54BE"/>
    <w:rsid w:val="00DE6B41"/>
    <w:rsid w:val="00DE6BD0"/>
    <w:rsid w:val="00DE7342"/>
    <w:rsid w:val="00DE7FD4"/>
    <w:rsid w:val="00DF1A08"/>
    <w:rsid w:val="00DF4048"/>
    <w:rsid w:val="00DF4DA0"/>
    <w:rsid w:val="00E005C9"/>
    <w:rsid w:val="00E0145E"/>
    <w:rsid w:val="00E01D37"/>
    <w:rsid w:val="00E01ED0"/>
    <w:rsid w:val="00E02201"/>
    <w:rsid w:val="00E023B6"/>
    <w:rsid w:val="00E04091"/>
    <w:rsid w:val="00E04E25"/>
    <w:rsid w:val="00E05D8E"/>
    <w:rsid w:val="00E0645D"/>
    <w:rsid w:val="00E07B90"/>
    <w:rsid w:val="00E12082"/>
    <w:rsid w:val="00E12D6E"/>
    <w:rsid w:val="00E141C7"/>
    <w:rsid w:val="00E15763"/>
    <w:rsid w:val="00E1584A"/>
    <w:rsid w:val="00E16451"/>
    <w:rsid w:val="00E1760A"/>
    <w:rsid w:val="00E224A9"/>
    <w:rsid w:val="00E2350C"/>
    <w:rsid w:val="00E23B23"/>
    <w:rsid w:val="00E23DA4"/>
    <w:rsid w:val="00E25D31"/>
    <w:rsid w:val="00E26653"/>
    <w:rsid w:val="00E26EB6"/>
    <w:rsid w:val="00E273B4"/>
    <w:rsid w:val="00E33D40"/>
    <w:rsid w:val="00E37B9F"/>
    <w:rsid w:val="00E418E3"/>
    <w:rsid w:val="00E42690"/>
    <w:rsid w:val="00E42729"/>
    <w:rsid w:val="00E45F5A"/>
    <w:rsid w:val="00E47885"/>
    <w:rsid w:val="00E50796"/>
    <w:rsid w:val="00E513EB"/>
    <w:rsid w:val="00E51DBD"/>
    <w:rsid w:val="00E5209F"/>
    <w:rsid w:val="00E527BD"/>
    <w:rsid w:val="00E53DB7"/>
    <w:rsid w:val="00E54455"/>
    <w:rsid w:val="00E56B00"/>
    <w:rsid w:val="00E60D9F"/>
    <w:rsid w:val="00E60EB5"/>
    <w:rsid w:val="00E61F0D"/>
    <w:rsid w:val="00E62470"/>
    <w:rsid w:val="00E62C51"/>
    <w:rsid w:val="00E62E9A"/>
    <w:rsid w:val="00E640A1"/>
    <w:rsid w:val="00E64BF0"/>
    <w:rsid w:val="00E65017"/>
    <w:rsid w:val="00E65F97"/>
    <w:rsid w:val="00E71204"/>
    <w:rsid w:val="00E725BF"/>
    <w:rsid w:val="00E73D86"/>
    <w:rsid w:val="00E75A80"/>
    <w:rsid w:val="00E76E3C"/>
    <w:rsid w:val="00E76E66"/>
    <w:rsid w:val="00E778E2"/>
    <w:rsid w:val="00E77BF0"/>
    <w:rsid w:val="00E83C02"/>
    <w:rsid w:val="00E84A84"/>
    <w:rsid w:val="00E8776F"/>
    <w:rsid w:val="00E9131E"/>
    <w:rsid w:val="00E93451"/>
    <w:rsid w:val="00E94C82"/>
    <w:rsid w:val="00E9634C"/>
    <w:rsid w:val="00EA0828"/>
    <w:rsid w:val="00EA1B3B"/>
    <w:rsid w:val="00EA33E8"/>
    <w:rsid w:val="00EA42A5"/>
    <w:rsid w:val="00EA5536"/>
    <w:rsid w:val="00EA5BE5"/>
    <w:rsid w:val="00EB0299"/>
    <w:rsid w:val="00EB20D2"/>
    <w:rsid w:val="00EB4109"/>
    <w:rsid w:val="00EB49AF"/>
    <w:rsid w:val="00EB5B54"/>
    <w:rsid w:val="00EB60A7"/>
    <w:rsid w:val="00EB6E88"/>
    <w:rsid w:val="00EC1F68"/>
    <w:rsid w:val="00EC2F74"/>
    <w:rsid w:val="00EC3655"/>
    <w:rsid w:val="00EC4752"/>
    <w:rsid w:val="00EC5204"/>
    <w:rsid w:val="00EC545E"/>
    <w:rsid w:val="00EC623C"/>
    <w:rsid w:val="00EC7D16"/>
    <w:rsid w:val="00ED0E41"/>
    <w:rsid w:val="00ED11F5"/>
    <w:rsid w:val="00ED1431"/>
    <w:rsid w:val="00ED17A2"/>
    <w:rsid w:val="00ED1864"/>
    <w:rsid w:val="00ED1932"/>
    <w:rsid w:val="00ED1EDD"/>
    <w:rsid w:val="00ED3178"/>
    <w:rsid w:val="00ED463F"/>
    <w:rsid w:val="00ED65BF"/>
    <w:rsid w:val="00EE0FB6"/>
    <w:rsid w:val="00EE1AFA"/>
    <w:rsid w:val="00EE20A6"/>
    <w:rsid w:val="00EE34BF"/>
    <w:rsid w:val="00EE69B4"/>
    <w:rsid w:val="00EE69BB"/>
    <w:rsid w:val="00EE7676"/>
    <w:rsid w:val="00EF01C8"/>
    <w:rsid w:val="00EF2717"/>
    <w:rsid w:val="00EF3196"/>
    <w:rsid w:val="00EF3636"/>
    <w:rsid w:val="00EF418C"/>
    <w:rsid w:val="00EF49D1"/>
    <w:rsid w:val="00EF5664"/>
    <w:rsid w:val="00F01242"/>
    <w:rsid w:val="00F02150"/>
    <w:rsid w:val="00F0378C"/>
    <w:rsid w:val="00F038B9"/>
    <w:rsid w:val="00F03A4F"/>
    <w:rsid w:val="00F040F8"/>
    <w:rsid w:val="00F06D8D"/>
    <w:rsid w:val="00F06E32"/>
    <w:rsid w:val="00F1013B"/>
    <w:rsid w:val="00F10415"/>
    <w:rsid w:val="00F11763"/>
    <w:rsid w:val="00F129D7"/>
    <w:rsid w:val="00F12A21"/>
    <w:rsid w:val="00F13129"/>
    <w:rsid w:val="00F13B67"/>
    <w:rsid w:val="00F13EFB"/>
    <w:rsid w:val="00F1465B"/>
    <w:rsid w:val="00F20406"/>
    <w:rsid w:val="00F20A27"/>
    <w:rsid w:val="00F219F3"/>
    <w:rsid w:val="00F21D50"/>
    <w:rsid w:val="00F25CC8"/>
    <w:rsid w:val="00F27707"/>
    <w:rsid w:val="00F3008D"/>
    <w:rsid w:val="00F30F66"/>
    <w:rsid w:val="00F31AC1"/>
    <w:rsid w:val="00F345E0"/>
    <w:rsid w:val="00F3551A"/>
    <w:rsid w:val="00F40B57"/>
    <w:rsid w:val="00F4181E"/>
    <w:rsid w:val="00F44B5E"/>
    <w:rsid w:val="00F44DF6"/>
    <w:rsid w:val="00F45018"/>
    <w:rsid w:val="00F45217"/>
    <w:rsid w:val="00F45579"/>
    <w:rsid w:val="00F4577D"/>
    <w:rsid w:val="00F47412"/>
    <w:rsid w:val="00F47742"/>
    <w:rsid w:val="00F51759"/>
    <w:rsid w:val="00F51E25"/>
    <w:rsid w:val="00F5266B"/>
    <w:rsid w:val="00F527C2"/>
    <w:rsid w:val="00F53A62"/>
    <w:rsid w:val="00F552D0"/>
    <w:rsid w:val="00F55F6C"/>
    <w:rsid w:val="00F56133"/>
    <w:rsid w:val="00F56C07"/>
    <w:rsid w:val="00F57912"/>
    <w:rsid w:val="00F57D09"/>
    <w:rsid w:val="00F60011"/>
    <w:rsid w:val="00F60BB0"/>
    <w:rsid w:val="00F6424D"/>
    <w:rsid w:val="00F64B6A"/>
    <w:rsid w:val="00F65BD6"/>
    <w:rsid w:val="00F65F74"/>
    <w:rsid w:val="00F67796"/>
    <w:rsid w:val="00F67FCF"/>
    <w:rsid w:val="00F716BD"/>
    <w:rsid w:val="00F72BAF"/>
    <w:rsid w:val="00F72E06"/>
    <w:rsid w:val="00F73329"/>
    <w:rsid w:val="00F75AA4"/>
    <w:rsid w:val="00F765EF"/>
    <w:rsid w:val="00F7678B"/>
    <w:rsid w:val="00F76F43"/>
    <w:rsid w:val="00F77FDB"/>
    <w:rsid w:val="00F80ACF"/>
    <w:rsid w:val="00F818F9"/>
    <w:rsid w:val="00F8256D"/>
    <w:rsid w:val="00F8538B"/>
    <w:rsid w:val="00F85547"/>
    <w:rsid w:val="00F85F18"/>
    <w:rsid w:val="00F86DFB"/>
    <w:rsid w:val="00F90DFF"/>
    <w:rsid w:val="00F913B0"/>
    <w:rsid w:val="00F92470"/>
    <w:rsid w:val="00F92A29"/>
    <w:rsid w:val="00F9623B"/>
    <w:rsid w:val="00F970E4"/>
    <w:rsid w:val="00F9744A"/>
    <w:rsid w:val="00FA1634"/>
    <w:rsid w:val="00FA2E7D"/>
    <w:rsid w:val="00FA43CF"/>
    <w:rsid w:val="00FA4647"/>
    <w:rsid w:val="00FA544F"/>
    <w:rsid w:val="00FA5989"/>
    <w:rsid w:val="00FB291B"/>
    <w:rsid w:val="00FB3332"/>
    <w:rsid w:val="00FB4B59"/>
    <w:rsid w:val="00FB653B"/>
    <w:rsid w:val="00FB68D4"/>
    <w:rsid w:val="00FB761A"/>
    <w:rsid w:val="00FB7BE0"/>
    <w:rsid w:val="00FC0620"/>
    <w:rsid w:val="00FC1C11"/>
    <w:rsid w:val="00FC1E7D"/>
    <w:rsid w:val="00FC1F1F"/>
    <w:rsid w:val="00FC424D"/>
    <w:rsid w:val="00FC5650"/>
    <w:rsid w:val="00FC693D"/>
    <w:rsid w:val="00FC69EF"/>
    <w:rsid w:val="00FD162C"/>
    <w:rsid w:val="00FD4D3B"/>
    <w:rsid w:val="00FD62C1"/>
    <w:rsid w:val="00FE2907"/>
    <w:rsid w:val="00FE3EDF"/>
    <w:rsid w:val="00FE5F62"/>
    <w:rsid w:val="00FF3374"/>
    <w:rsid w:val="00FF3BCF"/>
    <w:rsid w:val="00FF58DD"/>
    <w:rsid w:val="00FF5E3D"/>
    <w:rsid w:val="3B435ACE"/>
    <w:rsid w:val="5C34686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uiPriority="1" w:unhideWhenUsed="1" w:qFormat="1"/>
    <w:lsdException w:name="Body Text" w:qFormat="1"/>
    <w:lsdException w:name="Subtitle" w:qFormat="1"/>
    <w:lsdException w:name="Hyperlink"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imes New Roman"/>
      <w:sz w:val="24"/>
      <w:szCs w:val="24"/>
      <w:lang w:eastAsia="en-US"/>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Arial" w:hAnsi="Arial"/>
      <w:b/>
      <w:sz w:val="20"/>
      <w:szCs w:val="20"/>
      <w:u w:val="single"/>
    </w:rPr>
  </w:style>
  <w:style w:type="paragraph" w:styleId="Heading2">
    <w:name w:val="heading 2"/>
    <w:basedOn w:val="Normal"/>
    <w:next w:val="Normal"/>
    <w:link w:val="Heading2Char"/>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link w:val="BodyTextChar"/>
    <w:qFormat/>
    <w:pPr>
      <w:jc w:val="center"/>
    </w:pPr>
    <w:rPr>
      <w:rFonts w:ascii="Arial" w:hAnsi="Arial" w:cs="Arial"/>
      <w:b/>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paragraph" w:styleId="Footer">
    <w:name w:val="footer"/>
    <w:basedOn w:val="Normal"/>
    <w:link w:val="FooterChar"/>
    <w:uiPriority w:val="99"/>
    <w:qFormat/>
    <w:pPr>
      <w:tabs>
        <w:tab w:val="center" w:pos="4513"/>
        <w:tab w:val="right" w:pos="9026"/>
      </w:tabs>
    </w:pPr>
  </w:style>
  <w:style w:type="paragraph" w:styleId="Header">
    <w:name w:val="header"/>
    <w:basedOn w:val="Normal"/>
    <w:link w:val="HeaderChar"/>
    <w:pPr>
      <w:tabs>
        <w:tab w:val="center" w:pos="4513"/>
        <w:tab w:val="right" w:pos="9026"/>
      </w:tabs>
    </w:pPr>
  </w:style>
  <w:style w:type="paragraph" w:styleId="NormalWeb">
    <w:name w:val="Normal (Web)"/>
    <w:basedOn w:val="Normal"/>
    <w:uiPriority w:val="99"/>
    <w:qFormat/>
    <w:pPr>
      <w:spacing w:before="100" w:beforeAutospacing="1" w:after="100" w:afterAutospacing="1"/>
    </w:pPr>
    <w:rPr>
      <w:lang w:eastAsia="en-GB"/>
    </w:rPr>
  </w:style>
  <w:style w:type="paragraph" w:styleId="PlainText">
    <w:name w:val="Plain Text"/>
    <w:basedOn w:val="Normal"/>
    <w:link w:val="PlainTextChar"/>
    <w:qFormat/>
    <w:rPr>
      <w:rFonts w:ascii="Consolas" w:hAnsi="Consolas" w:cs="Consolas"/>
      <w:sz w:val="21"/>
      <w:szCs w:val="21"/>
    </w:rPr>
  </w:style>
  <w:style w:type="character" w:styleId="CommentReference">
    <w:name w:val="annotation reference"/>
    <w:basedOn w:val="DefaultParagraphFont"/>
    <w:qFormat/>
    <w:rPr>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rPr>
      <w:color w:val="800080" w:themeColor="followedHyperlink"/>
      <w:u w:val="single"/>
    </w:rPr>
  </w:style>
  <w:style w:type="character" w:styleId="Hyperlink">
    <w:name w:val="Hyperlink"/>
    <w:basedOn w:val="DefaultParagraphFont"/>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Pr>
      <w:sz w:val="24"/>
      <w:szCs w:val="24"/>
      <w:lang w:eastAsia="en-US"/>
    </w:rPr>
  </w:style>
  <w:style w:type="character" w:customStyle="1" w:styleId="FooterChar">
    <w:name w:val="Footer Char"/>
    <w:basedOn w:val="DefaultParagraphFont"/>
    <w:link w:val="Footer"/>
    <w:uiPriority w:val="99"/>
    <w:qFormat/>
    <w:rPr>
      <w:sz w:val="24"/>
      <w:szCs w:val="24"/>
      <w:lang w:eastAsia="en-US"/>
    </w:rPr>
  </w:style>
  <w:style w:type="paragraph" w:customStyle="1" w:styleId="ListParagraph1">
    <w:name w:val="List Paragraph1"/>
    <w:basedOn w:val="Normal"/>
    <w:uiPriority w:val="34"/>
    <w:qFormat/>
    <w:pPr>
      <w:ind w:left="720"/>
    </w:pPr>
  </w:style>
  <w:style w:type="paragraph" w:customStyle="1" w:styleId="NormalWeb5">
    <w:name w:val="Normal (Web)5"/>
    <w:basedOn w:val="Normal"/>
    <w:qFormat/>
    <w:rPr>
      <w:rFonts w:ascii="Arial" w:hAnsi="Arial" w:cs="Arial"/>
      <w:lang w:eastAsia="en-GB"/>
    </w:rPr>
  </w:style>
  <w:style w:type="character" w:customStyle="1" w:styleId="BodyTextChar">
    <w:name w:val="Body Text Char"/>
    <w:basedOn w:val="DefaultParagraphFont"/>
    <w:link w:val="BodyText"/>
    <w:qFormat/>
    <w:rPr>
      <w:rFonts w:ascii="Arial" w:hAnsi="Arial" w:cs="Arial"/>
      <w:b/>
      <w:sz w:val="24"/>
      <w:szCs w:val="24"/>
      <w:lang w:eastAsia="en-US"/>
    </w:rPr>
  </w:style>
  <w:style w:type="paragraph" w:customStyle="1" w:styleId="Default">
    <w:name w:val="Default"/>
    <w:basedOn w:val="Normal"/>
    <w:qFormat/>
    <w:pPr>
      <w:autoSpaceDE w:val="0"/>
      <w:autoSpaceDN w:val="0"/>
    </w:pPr>
    <w:rPr>
      <w:rFonts w:ascii="Myriad Pro" w:eastAsia="Calibri" w:hAnsi="Myriad Pro"/>
      <w:color w:val="000000"/>
      <w:lang w:eastAsia="en-GB"/>
    </w:rPr>
  </w:style>
  <w:style w:type="character" w:customStyle="1" w:styleId="BalloonTextChar">
    <w:name w:val="Balloon Text Char"/>
    <w:basedOn w:val="DefaultParagraphFont"/>
    <w:link w:val="BalloonText"/>
    <w:qFormat/>
    <w:rPr>
      <w:rFonts w:ascii="Tahoma" w:hAnsi="Tahoma" w:cs="Tahoma"/>
      <w:sz w:val="16"/>
      <w:szCs w:val="16"/>
      <w:lang w:eastAsia="en-US"/>
    </w:rPr>
  </w:style>
  <w:style w:type="paragraph" w:customStyle="1" w:styleId="CM62">
    <w:name w:val="CM62"/>
    <w:basedOn w:val="Normal"/>
    <w:uiPriority w:val="99"/>
    <w:pPr>
      <w:autoSpaceDE w:val="0"/>
      <w:autoSpaceDN w:val="0"/>
      <w:spacing w:after="180"/>
    </w:pPr>
    <w:rPr>
      <w:rFonts w:ascii="Myriad Pro" w:eastAsia="Calibri" w:hAnsi="Myriad Pro"/>
      <w:lang w:eastAsia="en-GB"/>
    </w:rPr>
  </w:style>
  <w:style w:type="character" w:customStyle="1" w:styleId="Heading3Char">
    <w:name w:val="Heading 3 Char"/>
    <w:basedOn w:val="DefaultParagraphFont"/>
    <w:link w:val="Heading3"/>
    <w:semiHidden/>
    <w:qFormat/>
    <w:rPr>
      <w:rFonts w:asciiTheme="majorHAnsi" w:eastAsiaTheme="majorEastAsia" w:hAnsiTheme="majorHAnsi" w:cstheme="majorBidi"/>
      <w:b/>
      <w:bCs/>
      <w:color w:val="4F81BD" w:themeColor="accent1"/>
      <w:sz w:val="24"/>
      <w:szCs w:val="24"/>
      <w:lang w:eastAsia="en-US"/>
    </w:rPr>
  </w:style>
  <w:style w:type="character" w:customStyle="1" w:styleId="CommentTextChar">
    <w:name w:val="Comment Text Char"/>
    <w:basedOn w:val="DefaultParagraphFont"/>
    <w:link w:val="CommentText"/>
    <w:qFormat/>
    <w:rPr>
      <w:lang w:eastAsia="en-US"/>
    </w:rPr>
  </w:style>
  <w:style w:type="character" w:customStyle="1" w:styleId="CommentSubjectChar">
    <w:name w:val="Comment Subject Char"/>
    <w:basedOn w:val="CommentTextChar"/>
    <w:link w:val="CommentSubject"/>
    <w:qFormat/>
    <w:rPr>
      <w:b/>
      <w:bCs/>
      <w:lang w:eastAsia="en-US"/>
    </w:rPr>
  </w:style>
  <w:style w:type="paragraph" w:customStyle="1" w:styleId="CM1">
    <w:name w:val="CM1"/>
    <w:basedOn w:val="Default"/>
    <w:next w:val="Default"/>
    <w:uiPriority w:val="99"/>
    <w:qFormat/>
    <w:pPr>
      <w:adjustRightInd w:val="0"/>
      <w:spacing w:line="293" w:lineRule="atLeast"/>
    </w:pPr>
    <w:rPr>
      <w:rFonts w:ascii="Calibri" w:eastAsia="Times New Roman" w:hAnsi="Calibri"/>
      <w:color w:val="auto"/>
    </w:rPr>
  </w:style>
  <w:style w:type="character" w:customStyle="1" w:styleId="Heading2Char">
    <w:name w:val="Heading 2 Char"/>
    <w:basedOn w:val="DefaultParagraphFont"/>
    <w:link w:val="Heading2"/>
    <w:semiHidden/>
    <w:qFormat/>
    <w:rPr>
      <w:rFonts w:asciiTheme="majorHAnsi" w:eastAsiaTheme="majorEastAsia" w:hAnsiTheme="majorHAnsi" w:cstheme="majorBidi"/>
      <w:b/>
      <w:bCs/>
      <w:color w:val="4F81BD" w:themeColor="accent1"/>
      <w:sz w:val="26"/>
      <w:szCs w:val="26"/>
      <w:lang w:eastAsia="en-US"/>
    </w:rPr>
  </w:style>
  <w:style w:type="character" w:customStyle="1" w:styleId="PlainTextChar">
    <w:name w:val="Plain Text Char"/>
    <w:basedOn w:val="DefaultParagraphFont"/>
    <w:link w:val="PlainText"/>
    <w:qFormat/>
    <w:rPr>
      <w:rFonts w:ascii="Consolas" w:hAnsi="Consolas" w:cs="Consolas"/>
      <w:sz w:val="21"/>
      <w:szCs w:val="21"/>
      <w:lang w:eastAsia="en-US"/>
    </w:rPr>
  </w:style>
  <w:style w:type="paragraph" w:styleId="ListParagraph">
    <w:name w:val="List Paragraph"/>
    <w:basedOn w:val="Normal"/>
    <w:uiPriority w:val="34"/>
    <w:qFormat/>
    <w:rsid w:val="006A5DEF"/>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uiPriority="1" w:unhideWhenUsed="1" w:qFormat="1"/>
    <w:lsdException w:name="Body Text" w:qFormat="1"/>
    <w:lsdException w:name="Subtitle" w:qFormat="1"/>
    <w:lsdException w:name="Hyperlink"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imes New Roman"/>
      <w:sz w:val="24"/>
      <w:szCs w:val="24"/>
      <w:lang w:eastAsia="en-US"/>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Arial" w:hAnsi="Arial"/>
      <w:b/>
      <w:sz w:val="20"/>
      <w:szCs w:val="20"/>
      <w:u w:val="single"/>
    </w:rPr>
  </w:style>
  <w:style w:type="paragraph" w:styleId="Heading2">
    <w:name w:val="heading 2"/>
    <w:basedOn w:val="Normal"/>
    <w:next w:val="Normal"/>
    <w:link w:val="Heading2Char"/>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link w:val="BodyTextChar"/>
    <w:qFormat/>
    <w:pPr>
      <w:jc w:val="center"/>
    </w:pPr>
    <w:rPr>
      <w:rFonts w:ascii="Arial" w:hAnsi="Arial" w:cs="Arial"/>
      <w:b/>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qFormat/>
    <w:rPr>
      <w:b/>
      <w:bCs/>
    </w:rPr>
  </w:style>
  <w:style w:type="paragraph" w:styleId="Footer">
    <w:name w:val="footer"/>
    <w:basedOn w:val="Normal"/>
    <w:link w:val="FooterChar"/>
    <w:uiPriority w:val="99"/>
    <w:qFormat/>
    <w:pPr>
      <w:tabs>
        <w:tab w:val="center" w:pos="4513"/>
        <w:tab w:val="right" w:pos="9026"/>
      </w:tabs>
    </w:pPr>
  </w:style>
  <w:style w:type="paragraph" w:styleId="Header">
    <w:name w:val="header"/>
    <w:basedOn w:val="Normal"/>
    <w:link w:val="HeaderChar"/>
    <w:pPr>
      <w:tabs>
        <w:tab w:val="center" w:pos="4513"/>
        <w:tab w:val="right" w:pos="9026"/>
      </w:tabs>
    </w:pPr>
  </w:style>
  <w:style w:type="paragraph" w:styleId="NormalWeb">
    <w:name w:val="Normal (Web)"/>
    <w:basedOn w:val="Normal"/>
    <w:uiPriority w:val="99"/>
    <w:qFormat/>
    <w:pPr>
      <w:spacing w:before="100" w:beforeAutospacing="1" w:after="100" w:afterAutospacing="1"/>
    </w:pPr>
    <w:rPr>
      <w:lang w:eastAsia="en-GB"/>
    </w:rPr>
  </w:style>
  <w:style w:type="paragraph" w:styleId="PlainText">
    <w:name w:val="Plain Text"/>
    <w:basedOn w:val="Normal"/>
    <w:link w:val="PlainTextChar"/>
    <w:qFormat/>
    <w:rPr>
      <w:rFonts w:ascii="Consolas" w:hAnsi="Consolas" w:cs="Consolas"/>
      <w:sz w:val="21"/>
      <w:szCs w:val="21"/>
    </w:rPr>
  </w:style>
  <w:style w:type="character" w:styleId="CommentReference">
    <w:name w:val="annotation reference"/>
    <w:basedOn w:val="DefaultParagraphFont"/>
    <w:qFormat/>
    <w:rPr>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rPr>
      <w:color w:val="800080" w:themeColor="followedHyperlink"/>
      <w:u w:val="single"/>
    </w:rPr>
  </w:style>
  <w:style w:type="character" w:styleId="Hyperlink">
    <w:name w:val="Hyperlink"/>
    <w:basedOn w:val="DefaultParagraphFont"/>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Pr>
      <w:sz w:val="24"/>
      <w:szCs w:val="24"/>
      <w:lang w:eastAsia="en-US"/>
    </w:rPr>
  </w:style>
  <w:style w:type="character" w:customStyle="1" w:styleId="FooterChar">
    <w:name w:val="Footer Char"/>
    <w:basedOn w:val="DefaultParagraphFont"/>
    <w:link w:val="Footer"/>
    <w:uiPriority w:val="99"/>
    <w:qFormat/>
    <w:rPr>
      <w:sz w:val="24"/>
      <w:szCs w:val="24"/>
      <w:lang w:eastAsia="en-US"/>
    </w:rPr>
  </w:style>
  <w:style w:type="paragraph" w:customStyle="1" w:styleId="ListParagraph1">
    <w:name w:val="List Paragraph1"/>
    <w:basedOn w:val="Normal"/>
    <w:uiPriority w:val="34"/>
    <w:qFormat/>
    <w:pPr>
      <w:ind w:left="720"/>
    </w:pPr>
  </w:style>
  <w:style w:type="paragraph" w:customStyle="1" w:styleId="NormalWeb5">
    <w:name w:val="Normal (Web)5"/>
    <w:basedOn w:val="Normal"/>
    <w:qFormat/>
    <w:rPr>
      <w:rFonts w:ascii="Arial" w:hAnsi="Arial" w:cs="Arial"/>
      <w:lang w:eastAsia="en-GB"/>
    </w:rPr>
  </w:style>
  <w:style w:type="character" w:customStyle="1" w:styleId="BodyTextChar">
    <w:name w:val="Body Text Char"/>
    <w:basedOn w:val="DefaultParagraphFont"/>
    <w:link w:val="BodyText"/>
    <w:qFormat/>
    <w:rPr>
      <w:rFonts w:ascii="Arial" w:hAnsi="Arial" w:cs="Arial"/>
      <w:b/>
      <w:sz w:val="24"/>
      <w:szCs w:val="24"/>
      <w:lang w:eastAsia="en-US"/>
    </w:rPr>
  </w:style>
  <w:style w:type="paragraph" w:customStyle="1" w:styleId="Default">
    <w:name w:val="Default"/>
    <w:basedOn w:val="Normal"/>
    <w:qFormat/>
    <w:pPr>
      <w:autoSpaceDE w:val="0"/>
      <w:autoSpaceDN w:val="0"/>
    </w:pPr>
    <w:rPr>
      <w:rFonts w:ascii="Myriad Pro" w:eastAsia="Calibri" w:hAnsi="Myriad Pro"/>
      <w:color w:val="000000"/>
      <w:lang w:eastAsia="en-GB"/>
    </w:rPr>
  </w:style>
  <w:style w:type="character" w:customStyle="1" w:styleId="BalloonTextChar">
    <w:name w:val="Balloon Text Char"/>
    <w:basedOn w:val="DefaultParagraphFont"/>
    <w:link w:val="BalloonText"/>
    <w:qFormat/>
    <w:rPr>
      <w:rFonts w:ascii="Tahoma" w:hAnsi="Tahoma" w:cs="Tahoma"/>
      <w:sz w:val="16"/>
      <w:szCs w:val="16"/>
      <w:lang w:eastAsia="en-US"/>
    </w:rPr>
  </w:style>
  <w:style w:type="paragraph" w:customStyle="1" w:styleId="CM62">
    <w:name w:val="CM62"/>
    <w:basedOn w:val="Normal"/>
    <w:uiPriority w:val="99"/>
    <w:pPr>
      <w:autoSpaceDE w:val="0"/>
      <w:autoSpaceDN w:val="0"/>
      <w:spacing w:after="180"/>
    </w:pPr>
    <w:rPr>
      <w:rFonts w:ascii="Myriad Pro" w:eastAsia="Calibri" w:hAnsi="Myriad Pro"/>
      <w:lang w:eastAsia="en-GB"/>
    </w:rPr>
  </w:style>
  <w:style w:type="character" w:customStyle="1" w:styleId="Heading3Char">
    <w:name w:val="Heading 3 Char"/>
    <w:basedOn w:val="DefaultParagraphFont"/>
    <w:link w:val="Heading3"/>
    <w:semiHidden/>
    <w:qFormat/>
    <w:rPr>
      <w:rFonts w:asciiTheme="majorHAnsi" w:eastAsiaTheme="majorEastAsia" w:hAnsiTheme="majorHAnsi" w:cstheme="majorBidi"/>
      <w:b/>
      <w:bCs/>
      <w:color w:val="4F81BD" w:themeColor="accent1"/>
      <w:sz w:val="24"/>
      <w:szCs w:val="24"/>
      <w:lang w:eastAsia="en-US"/>
    </w:rPr>
  </w:style>
  <w:style w:type="character" w:customStyle="1" w:styleId="CommentTextChar">
    <w:name w:val="Comment Text Char"/>
    <w:basedOn w:val="DefaultParagraphFont"/>
    <w:link w:val="CommentText"/>
    <w:qFormat/>
    <w:rPr>
      <w:lang w:eastAsia="en-US"/>
    </w:rPr>
  </w:style>
  <w:style w:type="character" w:customStyle="1" w:styleId="CommentSubjectChar">
    <w:name w:val="Comment Subject Char"/>
    <w:basedOn w:val="CommentTextChar"/>
    <w:link w:val="CommentSubject"/>
    <w:qFormat/>
    <w:rPr>
      <w:b/>
      <w:bCs/>
      <w:lang w:eastAsia="en-US"/>
    </w:rPr>
  </w:style>
  <w:style w:type="paragraph" w:customStyle="1" w:styleId="CM1">
    <w:name w:val="CM1"/>
    <w:basedOn w:val="Default"/>
    <w:next w:val="Default"/>
    <w:uiPriority w:val="99"/>
    <w:qFormat/>
    <w:pPr>
      <w:adjustRightInd w:val="0"/>
      <w:spacing w:line="293" w:lineRule="atLeast"/>
    </w:pPr>
    <w:rPr>
      <w:rFonts w:ascii="Calibri" w:eastAsia="Times New Roman" w:hAnsi="Calibri"/>
      <w:color w:val="auto"/>
    </w:rPr>
  </w:style>
  <w:style w:type="character" w:customStyle="1" w:styleId="Heading2Char">
    <w:name w:val="Heading 2 Char"/>
    <w:basedOn w:val="DefaultParagraphFont"/>
    <w:link w:val="Heading2"/>
    <w:semiHidden/>
    <w:qFormat/>
    <w:rPr>
      <w:rFonts w:asciiTheme="majorHAnsi" w:eastAsiaTheme="majorEastAsia" w:hAnsiTheme="majorHAnsi" w:cstheme="majorBidi"/>
      <w:b/>
      <w:bCs/>
      <w:color w:val="4F81BD" w:themeColor="accent1"/>
      <w:sz w:val="26"/>
      <w:szCs w:val="26"/>
      <w:lang w:eastAsia="en-US"/>
    </w:rPr>
  </w:style>
  <w:style w:type="character" w:customStyle="1" w:styleId="PlainTextChar">
    <w:name w:val="Plain Text Char"/>
    <w:basedOn w:val="DefaultParagraphFont"/>
    <w:link w:val="PlainText"/>
    <w:qFormat/>
    <w:rPr>
      <w:rFonts w:ascii="Consolas" w:hAnsi="Consolas" w:cs="Consolas"/>
      <w:sz w:val="21"/>
      <w:szCs w:val="21"/>
      <w:lang w:eastAsia="en-US"/>
    </w:rPr>
  </w:style>
  <w:style w:type="paragraph" w:styleId="ListParagraph">
    <w:name w:val="List Paragraph"/>
    <w:basedOn w:val="Normal"/>
    <w:uiPriority w:val="34"/>
    <w:qFormat/>
    <w:rsid w:val="006A5DEF"/>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13">
      <w:bodyDiv w:val="1"/>
      <w:marLeft w:val="0"/>
      <w:marRight w:val="0"/>
      <w:marTop w:val="0"/>
      <w:marBottom w:val="0"/>
      <w:divBdr>
        <w:top w:val="none" w:sz="0" w:space="0" w:color="auto"/>
        <w:left w:val="none" w:sz="0" w:space="0" w:color="auto"/>
        <w:bottom w:val="none" w:sz="0" w:space="0" w:color="auto"/>
        <w:right w:val="none" w:sz="0" w:space="0" w:color="auto"/>
      </w:divBdr>
    </w:div>
    <w:div w:id="144593671">
      <w:bodyDiv w:val="1"/>
      <w:marLeft w:val="0"/>
      <w:marRight w:val="0"/>
      <w:marTop w:val="0"/>
      <w:marBottom w:val="0"/>
      <w:divBdr>
        <w:top w:val="none" w:sz="0" w:space="0" w:color="auto"/>
        <w:left w:val="none" w:sz="0" w:space="0" w:color="auto"/>
        <w:bottom w:val="none" w:sz="0" w:space="0" w:color="auto"/>
        <w:right w:val="none" w:sz="0" w:space="0" w:color="auto"/>
      </w:divBdr>
    </w:div>
    <w:div w:id="145319059">
      <w:bodyDiv w:val="1"/>
      <w:marLeft w:val="0"/>
      <w:marRight w:val="0"/>
      <w:marTop w:val="0"/>
      <w:marBottom w:val="0"/>
      <w:divBdr>
        <w:top w:val="none" w:sz="0" w:space="0" w:color="auto"/>
        <w:left w:val="none" w:sz="0" w:space="0" w:color="auto"/>
        <w:bottom w:val="none" w:sz="0" w:space="0" w:color="auto"/>
        <w:right w:val="none" w:sz="0" w:space="0" w:color="auto"/>
      </w:divBdr>
    </w:div>
    <w:div w:id="186337283">
      <w:bodyDiv w:val="1"/>
      <w:marLeft w:val="0"/>
      <w:marRight w:val="0"/>
      <w:marTop w:val="0"/>
      <w:marBottom w:val="0"/>
      <w:divBdr>
        <w:top w:val="none" w:sz="0" w:space="0" w:color="auto"/>
        <w:left w:val="none" w:sz="0" w:space="0" w:color="auto"/>
        <w:bottom w:val="none" w:sz="0" w:space="0" w:color="auto"/>
        <w:right w:val="none" w:sz="0" w:space="0" w:color="auto"/>
      </w:divBdr>
    </w:div>
    <w:div w:id="261109944">
      <w:bodyDiv w:val="1"/>
      <w:marLeft w:val="0"/>
      <w:marRight w:val="0"/>
      <w:marTop w:val="0"/>
      <w:marBottom w:val="0"/>
      <w:divBdr>
        <w:top w:val="none" w:sz="0" w:space="0" w:color="auto"/>
        <w:left w:val="none" w:sz="0" w:space="0" w:color="auto"/>
        <w:bottom w:val="none" w:sz="0" w:space="0" w:color="auto"/>
        <w:right w:val="none" w:sz="0" w:space="0" w:color="auto"/>
      </w:divBdr>
    </w:div>
    <w:div w:id="311715982">
      <w:bodyDiv w:val="1"/>
      <w:marLeft w:val="0"/>
      <w:marRight w:val="0"/>
      <w:marTop w:val="0"/>
      <w:marBottom w:val="0"/>
      <w:divBdr>
        <w:top w:val="none" w:sz="0" w:space="0" w:color="auto"/>
        <w:left w:val="none" w:sz="0" w:space="0" w:color="auto"/>
        <w:bottom w:val="none" w:sz="0" w:space="0" w:color="auto"/>
        <w:right w:val="none" w:sz="0" w:space="0" w:color="auto"/>
      </w:divBdr>
    </w:div>
    <w:div w:id="367994927">
      <w:bodyDiv w:val="1"/>
      <w:marLeft w:val="0"/>
      <w:marRight w:val="0"/>
      <w:marTop w:val="0"/>
      <w:marBottom w:val="0"/>
      <w:divBdr>
        <w:top w:val="none" w:sz="0" w:space="0" w:color="auto"/>
        <w:left w:val="none" w:sz="0" w:space="0" w:color="auto"/>
        <w:bottom w:val="none" w:sz="0" w:space="0" w:color="auto"/>
        <w:right w:val="none" w:sz="0" w:space="0" w:color="auto"/>
      </w:divBdr>
    </w:div>
    <w:div w:id="380596113">
      <w:bodyDiv w:val="1"/>
      <w:marLeft w:val="0"/>
      <w:marRight w:val="0"/>
      <w:marTop w:val="0"/>
      <w:marBottom w:val="0"/>
      <w:divBdr>
        <w:top w:val="none" w:sz="0" w:space="0" w:color="auto"/>
        <w:left w:val="none" w:sz="0" w:space="0" w:color="auto"/>
        <w:bottom w:val="none" w:sz="0" w:space="0" w:color="auto"/>
        <w:right w:val="none" w:sz="0" w:space="0" w:color="auto"/>
      </w:divBdr>
    </w:div>
    <w:div w:id="388505957">
      <w:bodyDiv w:val="1"/>
      <w:marLeft w:val="0"/>
      <w:marRight w:val="0"/>
      <w:marTop w:val="0"/>
      <w:marBottom w:val="0"/>
      <w:divBdr>
        <w:top w:val="none" w:sz="0" w:space="0" w:color="auto"/>
        <w:left w:val="none" w:sz="0" w:space="0" w:color="auto"/>
        <w:bottom w:val="none" w:sz="0" w:space="0" w:color="auto"/>
        <w:right w:val="none" w:sz="0" w:space="0" w:color="auto"/>
      </w:divBdr>
    </w:div>
    <w:div w:id="501554247">
      <w:bodyDiv w:val="1"/>
      <w:marLeft w:val="0"/>
      <w:marRight w:val="0"/>
      <w:marTop w:val="0"/>
      <w:marBottom w:val="0"/>
      <w:divBdr>
        <w:top w:val="none" w:sz="0" w:space="0" w:color="auto"/>
        <w:left w:val="none" w:sz="0" w:space="0" w:color="auto"/>
        <w:bottom w:val="none" w:sz="0" w:space="0" w:color="auto"/>
        <w:right w:val="none" w:sz="0" w:space="0" w:color="auto"/>
      </w:divBdr>
    </w:div>
    <w:div w:id="590284689">
      <w:bodyDiv w:val="1"/>
      <w:marLeft w:val="0"/>
      <w:marRight w:val="0"/>
      <w:marTop w:val="0"/>
      <w:marBottom w:val="0"/>
      <w:divBdr>
        <w:top w:val="none" w:sz="0" w:space="0" w:color="auto"/>
        <w:left w:val="none" w:sz="0" w:space="0" w:color="auto"/>
        <w:bottom w:val="none" w:sz="0" w:space="0" w:color="auto"/>
        <w:right w:val="none" w:sz="0" w:space="0" w:color="auto"/>
      </w:divBdr>
    </w:div>
    <w:div w:id="598411456">
      <w:bodyDiv w:val="1"/>
      <w:marLeft w:val="0"/>
      <w:marRight w:val="0"/>
      <w:marTop w:val="0"/>
      <w:marBottom w:val="0"/>
      <w:divBdr>
        <w:top w:val="none" w:sz="0" w:space="0" w:color="auto"/>
        <w:left w:val="none" w:sz="0" w:space="0" w:color="auto"/>
        <w:bottom w:val="none" w:sz="0" w:space="0" w:color="auto"/>
        <w:right w:val="none" w:sz="0" w:space="0" w:color="auto"/>
      </w:divBdr>
    </w:div>
    <w:div w:id="615915315">
      <w:bodyDiv w:val="1"/>
      <w:marLeft w:val="0"/>
      <w:marRight w:val="0"/>
      <w:marTop w:val="0"/>
      <w:marBottom w:val="0"/>
      <w:divBdr>
        <w:top w:val="none" w:sz="0" w:space="0" w:color="auto"/>
        <w:left w:val="none" w:sz="0" w:space="0" w:color="auto"/>
        <w:bottom w:val="none" w:sz="0" w:space="0" w:color="auto"/>
        <w:right w:val="none" w:sz="0" w:space="0" w:color="auto"/>
      </w:divBdr>
    </w:div>
    <w:div w:id="634139953">
      <w:bodyDiv w:val="1"/>
      <w:marLeft w:val="0"/>
      <w:marRight w:val="0"/>
      <w:marTop w:val="0"/>
      <w:marBottom w:val="0"/>
      <w:divBdr>
        <w:top w:val="none" w:sz="0" w:space="0" w:color="auto"/>
        <w:left w:val="none" w:sz="0" w:space="0" w:color="auto"/>
        <w:bottom w:val="none" w:sz="0" w:space="0" w:color="auto"/>
        <w:right w:val="none" w:sz="0" w:space="0" w:color="auto"/>
      </w:divBdr>
    </w:div>
    <w:div w:id="669598081">
      <w:bodyDiv w:val="1"/>
      <w:marLeft w:val="0"/>
      <w:marRight w:val="0"/>
      <w:marTop w:val="0"/>
      <w:marBottom w:val="0"/>
      <w:divBdr>
        <w:top w:val="none" w:sz="0" w:space="0" w:color="auto"/>
        <w:left w:val="none" w:sz="0" w:space="0" w:color="auto"/>
        <w:bottom w:val="none" w:sz="0" w:space="0" w:color="auto"/>
        <w:right w:val="none" w:sz="0" w:space="0" w:color="auto"/>
      </w:divBdr>
    </w:div>
    <w:div w:id="688726016">
      <w:bodyDiv w:val="1"/>
      <w:marLeft w:val="0"/>
      <w:marRight w:val="0"/>
      <w:marTop w:val="0"/>
      <w:marBottom w:val="0"/>
      <w:divBdr>
        <w:top w:val="none" w:sz="0" w:space="0" w:color="auto"/>
        <w:left w:val="none" w:sz="0" w:space="0" w:color="auto"/>
        <w:bottom w:val="none" w:sz="0" w:space="0" w:color="auto"/>
        <w:right w:val="none" w:sz="0" w:space="0" w:color="auto"/>
      </w:divBdr>
    </w:div>
    <w:div w:id="745565656">
      <w:bodyDiv w:val="1"/>
      <w:marLeft w:val="0"/>
      <w:marRight w:val="0"/>
      <w:marTop w:val="0"/>
      <w:marBottom w:val="0"/>
      <w:divBdr>
        <w:top w:val="none" w:sz="0" w:space="0" w:color="auto"/>
        <w:left w:val="none" w:sz="0" w:space="0" w:color="auto"/>
        <w:bottom w:val="none" w:sz="0" w:space="0" w:color="auto"/>
        <w:right w:val="none" w:sz="0" w:space="0" w:color="auto"/>
      </w:divBdr>
    </w:div>
    <w:div w:id="859663589">
      <w:bodyDiv w:val="1"/>
      <w:marLeft w:val="0"/>
      <w:marRight w:val="0"/>
      <w:marTop w:val="0"/>
      <w:marBottom w:val="0"/>
      <w:divBdr>
        <w:top w:val="none" w:sz="0" w:space="0" w:color="auto"/>
        <w:left w:val="none" w:sz="0" w:space="0" w:color="auto"/>
        <w:bottom w:val="none" w:sz="0" w:space="0" w:color="auto"/>
        <w:right w:val="none" w:sz="0" w:space="0" w:color="auto"/>
      </w:divBdr>
    </w:div>
    <w:div w:id="992414143">
      <w:bodyDiv w:val="1"/>
      <w:marLeft w:val="0"/>
      <w:marRight w:val="0"/>
      <w:marTop w:val="0"/>
      <w:marBottom w:val="0"/>
      <w:divBdr>
        <w:top w:val="none" w:sz="0" w:space="0" w:color="auto"/>
        <w:left w:val="none" w:sz="0" w:space="0" w:color="auto"/>
        <w:bottom w:val="none" w:sz="0" w:space="0" w:color="auto"/>
        <w:right w:val="none" w:sz="0" w:space="0" w:color="auto"/>
      </w:divBdr>
    </w:div>
    <w:div w:id="1049838892">
      <w:bodyDiv w:val="1"/>
      <w:marLeft w:val="0"/>
      <w:marRight w:val="0"/>
      <w:marTop w:val="0"/>
      <w:marBottom w:val="0"/>
      <w:divBdr>
        <w:top w:val="none" w:sz="0" w:space="0" w:color="auto"/>
        <w:left w:val="none" w:sz="0" w:space="0" w:color="auto"/>
        <w:bottom w:val="none" w:sz="0" w:space="0" w:color="auto"/>
        <w:right w:val="none" w:sz="0" w:space="0" w:color="auto"/>
      </w:divBdr>
    </w:div>
    <w:div w:id="1059285414">
      <w:bodyDiv w:val="1"/>
      <w:marLeft w:val="0"/>
      <w:marRight w:val="0"/>
      <w:marTop w:val="0"/>
      <w:marBottom w:val="0"/>
      <w:divBdr>
        <w:top w:val="none" w:sz="0" w:space="0" w:color="auto"/>
        <w:left w:val="none" w:sz="0" w:space="0" w:color="auto"/>
        <w:bottom w:val="none" w:sz="0" w:space="0" w:color="auto"/>
        <w:right w:val="none" w:sz="0" w:space="0" w:color="auto"/>
      </w:divBdr>
    </w:div>
    <w:div w:id="1183058883">
      <w:bodyDiv w:val="1"/>
      <w:marLeft w:val="0"/>
      <w:marRight w:val="0"/>
      <w:marTop w:val="0"/>
      <w:marBottom w:val="0"/>
      <w:divBdr>
        <w:top w:val="none" w:sz="0" w:space="0" w:color="auto"/>
        <w:left w:val="none" w:sz="0" w:space="0" w:color="auto"/>
        <w:bottom w:val="none" w:sz="0" w:space="0" w:color="auto"/>
        <w:right w:val="none" w:sz="0" w:space="0" w:color="auto"/>
      </w:divBdr>
    </w:div>
    <w:div w:id="1240210159">
      <w:bodyDiv w:val="1"/>
      <w:marLeft w:val="0"/>
      <w:marRight w:val="0"/>
      <w:marTop w:val="0"/>
      <w:marBottom w:val="0"/>
      <w:divBdr>
        <w:top w:val="none" w:sz="0" w:space="0" w:color="auto"/>
        <w:left w:val="none" w:sz="0" w:space="0" w:color="auto"/>
        <w:bottom w:val="none" w:sz="0" w:space="0" w:color="auto"/>
        <w:right w:val="none" w:sz="0" w:space="0" w:color="auto"/>
      </w:divBdr>
    </w:div>
    <w:div w:id="1243101742">
      <w:bodyDiv w:val="1"/>
      <w:marLeft w:val="0"/>
      <w:marRight w:val="0"/>
      <w:marTop w:val="0"/>
      <w:marBottom w:val="0"/>
      <w:divBdr>
        <w:top w:val="none" w:sz="0" w:space="0" w:color="auto"/>
        <w:left w:val="none" w:sz="0" w:space="0" w:color="auto"/>
        <w:bottom w:val="none" w:sz="0" w:space="0" w:color="auto"/>
        <w:right w:val="none" w:sz="0" w:space="0" w:color="auto"/>
      </w:divBdr>
    </w:div>
    <w:div w:id="1258513965">
      <w:bodyDiv w:val="1"/>
      <w:marLeft w:val="0"/>
      <w:marRight w:val="0"/>
      <w:marTop w:val="0"/>
      <w:marBottom w:val="0"/>
      <w:divBdr>
        <w:top w:val="none" w:sz="0" w:space="0" w:color="auto"/>
        <w:left w:val="none" w:sz="0" w:space="0" w:color="auto"/>
        <w:bottom w:val="none" w:sz="0" w:space="0" w:color="auto"/>
        <w:right w:val="none" w:sz="0" w:space="0" w:color="auto"/>
      </w:divBdr>
    </w:div>
    <w:div w:id="1274822725">
      <w:bodyDiv w:val="1"/>
      <w:marLeft w:val="0"/>
      <w:marRight w:val="0"/>
      <w:marTop w:val="0"/>
      <w:marBottom w:val="0"/>
      <w:divBdr>
        <w:top w:val="none" w:sz="0" w:space="0" w:color="auto"/>
        <w:left w:val="none" w:sz="0" w:space="0" w:color="auto"/>
        <w:bottom w:val="none" w:sz="0" w:space="0" w:color="auto"/>
        <w:right w:val="none" w:sz="0" w:space="0" w:color="auto"/>
      </w:divBdr>
    </w:div>
    <w:div w:id="1289239664">
      <w:bodyDiv w:val="1"/>
      <w:marLeft w:val="0"/>
      <w:marRight w:val="0"/>
      <w:marTop w:val="0"/>
      <w:marBottom w:val="0"/>
      <w:divBdr>
        <w:top w:val="none" w:sz="0" w:space="0" w:color="auto"/>
        <w:left w:val="none" w:sz="0" w:space="0" w:color="auto"/>
        <w:bottom w:val="none" w:sz="0" w:space="0" w:color="auto"/>
        <w:right w:val="none" w:sz="0" w:space="0" w:color="auto"/>
      </w:divBdr>
      <w:divsChild>
        <w:div w:id="1131748951">
          <w:marLeft w:val="547"/>
          <w:marRight w:val="0"/>
          <w:marTop w:val="130"/>
          <w:marBottom w:val="0"/>
          <w:divBdr>
            <w:top w:val="none" w:sz="0" w:space="0" w:color="auto"/>
            <w:left w:val="none" w:sz="0" w:space="0" w:color="auto"/>
            <w:bottom w:val="none" w:sz="0" w:space="0" w:color="auto"/>
            <w:right w:val="none" w:sz="0" w:space="0" w:color="auto"/>
          </w:divBdr>
        </w:div>
        <w:div w:id="159085323">
          <w:marLeft w:val="547"/>
          <w:marRight w:val="0"/>
          <w:marTop w:val="130"/>
          <w:marBottom w:val="0"/>
          <w:divBdr>
            <w:top w:val="none" w:sz="0" w:space="0" w:color="auto"/>
            <w:left w:val="none" w:sz="0" w:space="0" w:color="auto"/>
            <w:bottom w:val="none" w:sz="0" w:space="0" w:color="auto"/>
            <w:right w:val="none" w:sz="0" w:space="0" w:color="auto"/>
          </w:divBdr>
        </w:div>
        <w:div w:id="1486048276">
          <w:marLeft w:val="547"/>
          <w:marRight w:val="0"/>
          <w:marTop w:val="130"/>
          <w:marBottom w:val="0"/>
          <w:divBdr>
            <w:top w:val="none" w:sz="0" w:space="0" w:color="auto"/>
            <w:left w:val="none" w:sz="0" w:space="0" w:color="auto"/>
            <w:bottom w:val="none" w:sz="0" w:space="0" w:color="auto"/>
            <w:right w:val="none" w:sz="0" w:space="0" w:color="auto"/>
          </w:divBdr>
        </w:div>
        <w:div w:id="698505304">
          <w:marLeft w:val="547"/>
          <w:marRight w:val="0"/>
          <w:marTop w:val="130"/>
          <w:marBottom w:val="0"/>
          <w:divBdr>
            <w:top w:val="none" w:sz="0" w:space="0" w:color="auto"/>
            <w:left w:val="none" w:sz="0" w:space="0" w:color="auto"/>
            <w:bottom w:val="none" w:sz="0" w:space="0" w:color="auto"/>
            <w:right w:val="none" w:sz="0" w:space="0" w:color="auto"/>
          </w:divBdr>
        </w:div>
        <w:div w:id="863977878">
          <w:marLeft w:val="547"/>
          <w:marRight w:val="0"/>
          <w:marTop w:val="130"/>
          <w:marBottom w:val="0"/>
          <w:divBdr>
            <w:top w:val="none" w:sz="0" w:space="0" w:color="auto"/>
            <w:left w:val="none" w:sz="0" w:space="0" w:color="auto"/>
            <w:bottom w:val="none" w:sz="0" w:space="0" w:color="auto"/>
            <w:right w:val="none" w:sz="0" w:space="0" w:color="auto"/>
          </w:divBdr>
        </w:div>
        <w:div w:id="682367734">
          <w:marLeft w:val="547"/>
          <w:marRight w:val="0"/>
          <w:marTop w:val="130"/>
          <w:marBottom w:val="0"/>
          <w:divBdr>
            <w:top w:val="none" w:sz="0" w:space="0" w:color="auto"/>
            <w:left w:val="none" w:sz="0" w:space="0" w:color="auto"/>
            <w:bottom w:val="none" w:sz="0" w:space="0" w:color="auto"/>
            <w:right w:val="none" w:sz="0" w:space="0" w:color="auto"/>
          </w:divBdr>
        </w:div>
      </w:divsChild>
    </w:div>
    <w:div w:id="1299727225">
      <w:bodyDiv w:val="1"/>
      <w:marLeft w:val="0"/>
      <w:marRight w:val="0"/>
      <w:marTop w:val="0"/>
      <w:marBottom w:val="0"/>
      <w:divBdr>
        <w:top w:val="none" w:sz="0" w:space="0" w:color="auto"/>
        <w:left w:val="none" w:sz="0" w:space="0" w:color="auto"/>
        <w:bottom w:val="none" w:sz="0" w:space="0" w:color="auto"/>
        <w:right w:val="none" w:sz="0" w:space="0" w:color="auto"/>
      </w:divBdr>
    </w:div>
    <w:div w:id="1317109022">
      <w:bodyDiv w:val="1"/>
      <w:marLeft w:val="0"/>
      <w:marRight w:val="0"/>
      <w:marTop w:val="0"/>
      <w:marBottom w:val="0"/>
      <w:divBdr>
        <w:top w:val="none" w:sz="0" w:space="0" w:color="auto"/>
        <w:left w:val="none" w:sz="0" w:space="0" w:color="auto"/>
        <w:bottom w:val="none" w:sz="0" w:space="0" w:color="auto"/>
        <w:right w:val="none" w:sz="0" w:space="0" w:color="auto"/>
      </w:divBdr>
    </w:div>
    <w:div w:id="1378503429">
      <w:bodyDiv w:val="1"/>
      <w:marLeft w:val="0"/>
      <w:marRight w:val="0"/>
      <w:marTop w:val="0"/>
      <w:marBottom w:val="0"/>
      <w:divBdr>
        <w:top w:val="none" w:sz="0" w:space="0" w:color="auto"/>
        <w:left w:val="none" w:sz="0" w:space="0" w:color="auto"/>
        <w:bottom w:val="none" w:sz="0" w:space="0" w:color="auto"/>
        <w:right w:val="none" w:sz="0" w:space="0" w:color="auto"/>
      </w:divBdr>
    </w:div>
    <w:div w:id="1419865300">
      <w:bodyDiv w:val="1"/>
      <w:marLeft w:val="0"/>
      <w:marRight w:val="0"/>
      <w:marTop w:val="0"/>
      <w:marBottom w:val="0"/>
      <w:divBdr>
        <w:top w:val="none" w:sz="0" w:space="0" w:color="auto"/>
        <w:left w:val="none" w:sz="0" w:space="0" w:color="auto"/>
        <w:bottom w:val="none" w:sz="0" w:space="0" w:color="auto"/>
        <w:right w:val="none" w:sz="0" w:space="0" w:color="auto"/>
      </w:divBdr>
    </w:div>
    <w:div w:id="1555848166">
      <w:bodyDiv w:val="1"/>
      <w:marLeft w:val="0"/>
      <w:marRight w:val="0"/>
      <w:marTop w:val="0"/>
      <w:marBottom w:val="0"/>
      <w:divBdr>
        <w:top w:val="none" w:sz="0" w:space="0" w:color="auto"/>
        <w:left w:val="none" w:sz="0" w:space="0" w:color="auto"/>
        <w:bottom w:val="none" w:sz="0" w:space="0" w:color="auto"/>
        <w:right w:val="none" w:sz="0" w:space="0" w:color="auto"/>
      </w:divBdr>
    </w:div>
    <w:div w:id="1587180432">
      <w:bodyDiv w:val="1"/>
      <w:marLeft w:val="0"/>
      <w:marRight w:val="0"/>
      <w:marTop w:val="0"/>
      <w:marBottom w:val="0"/>
      <w:divBdr>
        <w:top w:val="none" w:sz="0" w:space="0" w:color="auto"/>
        <w:left w:val="none" w:sz="0" w:space="0" w:color="auto"/>
        <w:bottom w:val="none" w:sz="0" w:space="0" w:color="auto"/>
        <w:right w:val="none" w:sz="0" w:space="0" w:color="auto"/>
      </w:divBdr>
    </w:div>
    <w:div w:id="1664816816">
      <w:bodyDiv w:val="1"/>
      <w:marLeft w:val="0"/>
      <w:marRight w:val="0"/>
      <w:marTop w:val="0"/>
      <w:marBottom w:val="0"/>
      <w:divBdr>
        <w:top w:val="none" w:sz="0" w:space="0" w:color="auto"/>
        <w:left w:val="none" w:sz="0" w:space="0" w:color="auto"/>
        <w:bottom w:val="none" w:sz="0" w:space="0" w:color="auto"/>
        <w:right w:val="none" w:sz="0" w:space="0" w:color="auto"/>
      </w:divBdr>
    </w:div>
    <w:div w:id="1672373347">
      <w:bodyDiv w:val="1"/>
      <w:marLeft w:val="0"/>
      <w:marRight w:val="0"/>
      <w:marTop w:val="0"/>
      <w:marBottom w:val="0"/>
      <w:divBdr>
        <w:top w:val="none" w:sz="0" w:space="0" w:color="auto"/>
        <w:left w:val="none" w:sz="0" w:space="0" w:color="auto"/>
        <w:bottom w:val="none" w:sz="0" w:space="0" w:color="auto"/>
        <w:right w:val="none" w:sz="0" w:space="0" w:color="auto"/>
      </w:divBdr>
    </w:div>
    <w:div w:id="1678460418">
      <w:bodyDiv w:val="1"/>
      <w:marLeft w:val="0"/>
      <w:marRight w:val="0"/>
      <w:marTop w:val="0"/>
      <w:marBottom w:val="0"/>
      <w:divBdr>
        <w:top w:val="none" w:sz="0" w:space="0" w:color="auto"/>
        <w:left w:val="none" w:sz="0" w:space="0" w:color="auto"/>
        <w:bottom w:val="none" w:sz="0" w:space="0" w:color="auto"/>
        <w:right w:val="none" w:sz="0" w:space="0" w:color="auto"/>
      </w:divBdr>
      <w:divsChild>
        <w:div w:id="297540373">
          <w:marLeft w:val="288"/>
          <w:marRight w:val="0"/>
          <w:marTop w:val="0"/>
          <w:marBottom w:val="0"/>
          <w:divBdr>
            <w:top w:val="none" w:sz="0" w:space="0" w:color="auto"/>
            <w:left w:val="none" w:sz="0" w:space="0" w:color="auto"/>
            <w:bottom w:val="none" w:sz="0" w:space="0" w:color="auto"/>
            <w:right w:val="none" w:sz="0" w:space="0" w:color="auto"/>
          </w:divBdr>
        </w:div>
        <w:div w:id="1127046612">
          <w:marLeft w:val="288"/>
          <w:marRight w:val="0"/>
          <w:marTop w:val="0"/>
          <w:marBottom w:val="0"/>
          <w:divBdr>
            <w:top w:val="none" w:sz="0" w:space="0" w:color="auto"/>
            <w:left w:val="none" w:sz="0" w:space="0" w:color="auto"/>
            <w:bottom w:val="none" w:sz="0" w:space="0" w:color="auto"/>
            <w:right w:val="none" w:sz="0" w:space="0" w:color="auto"/>
          </w:divBdr>
        </w:div>
        <w:div w:id="1450858492">
          <w:marLeft w:val="288"/>
          <w:marRight w:val="0"/>
          <w:marTop w:val="0"/>
          <w:marBottom w:val="0"/>
          <w:divBdr>
            <w:top w:val="none" w:sz="0" w:space="0" w:color="auto"/>
            <w:left w:val="none" w:sz="0" w:space="0" w:color="auto"/>
            <w:bottom w:val="none" w:sz="0" w:space="0" w:color="auto"/>
            <w:right w:val="none" w:sz="0" w:space="0" w:color="auto"/>
          </w:divBdr>
        </w:div>
        <w:div w:id="1852530471">
          <w:marLeft w:val="288"/>
          <w:marRight w:val="0"/>
          <w:marTop w:val="0"/>
          <w:marBottom w:val="0"/>
          <w:divBdr>
            <w:top w:val="none" w:sz="0" w:space="0" w:color="auto"/>
            <w:left w:val="none" w:sz="0" w:space="0" w:color="auto"/>
            <w:bottom w:val="none" w:sz="0" w:space="0" w:color="auto"/>
            <w:right w:val="none" w:sz="0" w:space="0" w:color="auto"/>
          </w:divBdr>
        </w:div>
        <w:div w:id="1878657064">
          <w:marLeft w:val="288"/>
          <w:marRight w:val="0"/>
          <w:marTop w:val="0"/>
          <w:marBottom w:val="0"/>
          <w:divBdr>
            <w:top w:val="none" w:sz="0" w:space="0" w:color="auto"/>
            <w:left w:val="none" w:sz="0" w:space="0" w:color="auto"/>
            <w:bottom w:val="none" w:sz="0" w:space="0" w:color="auto"/>
            <w:right w:val="none" w:sz="0" w:space="0" w:color="auto"/>
          </w:divBdr>
        </w:div>
        <w:div w:id="1988852387">
          <w:marLeft w:val="288"/>
          <w:marRight w:val="0"/>
          <w:marTop w:val="0"/>
          <w:marBottom w:val="0"/>
          <w:divBdr>
            <w:top w:val="none" w:sz="0" w:space="0" w:color="auto"/>
            <w:left w:val="none" w:sz="0" w:space="0" w:color="auto"/>
            <w:bottom w:val="none" w:sz="0" w:space="0" w:color="auto"/>
            <w:right w:val="none" w:sz="0" w:space="0" w:color="auto"/>
          </w:divBdr>
        </w:div>
        <w:div w:id="1998419655">
          <w:marLeft w:val="288"/>
          <w:marRight w:val="0"/>
          <w:marTop w:val="0"/>
          <w:marBottom w:val="0"/>
          <w:divBdr>
            <w:top w:val="none" w:sz="0" w:space="0" w:color="auto"/>
            <w:left w:val="none" w:sz="0" w:space="0" w:color="auto"/>
            <w:bottom w:val="none" w:sz="0" w:space="0" w:color="auto"/>
            <w:right w:val="none" w:sz="0" w:space="0" w:color="auto"/>
          </w:divBdr>
        </w:div>
      </w:divsChild>
    </w:div>
    <w:div w:id="1681421728">
      <w:bodyDiv w:val="1"/>
      <w:marLeft w:val="0"/>
      <w:marRight w:val="0"/>
      <w:marTop w:val="0"/>
      <w:marBottom w:val="0"/>
      <w:divBdr>
        <w:top w:val="none" w:sz="0" w:space="0" w:color="auto"/>
        <w:left w:val="none" w:sz="0" w:space="0" w:color="auto"/>
        <w:bottom w:val="none" w:sz="0" w:space="0" w:color="auto"/>
        <w:right w:val="none" w:sz="0" w:space="0" w:color="auto"/>
      </w:divBdr>
    </w:div>
    <w:div w:id="1685545683">
      <w:bodyDiv w:val="1"/>
      <w:marLeft w:val="0"/>
      <w:marRight w:val="0"/>
      <w:marTop w:val="0"/>
      <w:marBottom w:val="0"/>
      <w:divBdr>
        <w:top w:val="none" w:sz="0" w:space="0" w:color="auto"/>
        <w:left w:val="none" w:sz="0" w:space="0" w:color="auto"/>
        <w:bottom w:val="none" w:sz="0" w:space="0" w:color="auto"/>
        <w:right w:val="none" w:sz="0" w:space="0" w:color="auto"/>
      </w:divBdr>
    </w:div>
    <w:div w:id="1689140804">
      <w:bodyDiv w:val="1"/>
      <w:marLeft w:val="0"/>
      <w:marRight w:val="0"/>
      <w:marTop w:val="0"/>
      <w:marBottom w:val="0"/>
      <w:divBdr>
        <w:top w:val="none" w:sz="0" w:space="0" w:color="auto"/>
        <w:left w:val="none" w:sz="0" w:space="0" w:color="auto"/>
        <w:bottom w:val="none" w:sz="0" w:space="0" w:color="auto"/>
        <w:right w:val="none" w:sz="0" w:space="0" w:color="auto"/>
      </w:divBdr>
    </w:div>
    <w:div w:id="1701205336">
      <w:bodyDiv w:val="1"/>
      <w:marLeft w:val="0"/>
      <w:marRight w:val="0"/>
      <w:marTop w:val="0"/>
      <w:marBottom w:val="0"/>
      <w:divBdr>
        <w:top w:val="none" w:sz="0" w:space="0" w:color="auto"/>
        <w:left w:val="none" w:sz="0" w:space="0" w:color="auto"/>
        <w:bottom w:val="none" w:sz="0" w:space="0" w:color="auto"/>
        <w:right w:val="none" w:sz="0" w:space="0" w:color="auto"/>
      </w:divBdr>
      <w:divsChild>
        <w:div w:id="834612263">
          <w:marLeft w:val="547"/>
          <w:marRight w:val="0"/>
          <w:marTop w:val="110"/>
          <w:marBottom w:val="0"/>
          <w:divBdr>
            <w:top w:val="none" w:sz="0" w:space="0" w:color="auto"/>
            <w:left w:val="none" w:sz="0" w:space="0" w:color="auto"/>
            <w:bottom w:val="none" w:sz="0" w:space="0" w:color="auto"/>
            <w:right w:val="none" w:sz="0" w:space="0" w:color="auto"/>
          </w:divBdr>
        </w:div>
      </w:divsChild>
    </w:div>
    <w:div w:id="1763524212">
      <w:bodyDiv w:val="1"/>
      <w:marLeft w:val="0"/>
      <w:marRight w:val="0"/>
      <w:marTop w:val="0"/>
      <w:marBottom w:val="0"/>
      <w:divBdr>
        <w:top w:val="none" w:sz="0" w:space="0" w:color="auto"/>
        <w:left w:val="none" w:sz="0" w:space="0" w:color="auto"/>
        <w:bottom w:val="none" w:sz="0" w:space="0" w:color="auto"/>
        <w:right w:val="none" w:sz="0" w:space="0" w:color="auto"/>
      </w:divBdr>
    </w:div>
    <w:div w:id="1796480944">
      <w:bodyDiv w:val="1"/>
      <w:marLeft w:val="0"/>
      <w:marRight w:val="0"/>
      <w:marTop w:val="0"/>
      <w:marBottom w:val="0"/>
      <w:divBdr>
        <w:top w:val="none" w:sz="0" w:space="0" w:color="auto"/>
        <w:left w:val="none" w:sz="0" w:space="0" w:color="auto"/>
        <w:bottom w:val="none" w:sz="0" w:space="0" w:color="auto"/>
        <w:right w:val="none" w:sz="0" w:space="0" w:color="auto"/>
      </w:divBdr>
    </w:div>
    <w:div w:id="1813789489">
      <w:bodyDiv w:val="1"/>
      <w:marLeft w:val="0"/>
      <w:marRight w:val="0"/>
      <w:marTop w:val="0"/>
      <w:marBottom w:val="0"/>
      <w:divBdr>
        <w:top w:val="none" w:sz="0" w:space="0" w:color="auto"/>
        <w:left w:val="none" w:sz="0" w:space="0" w:color="auto"/>
        <w:bottom w:val="none" w:sz="0" w:space="0" w:color="auto"/>
        <w:right w:val="none" w:sz="0" w:space="0" w:color="auto"/>
      </w:divBdr>
    </w:div>
    <w:div w:id="1925214885">
      <w:bodyDiv w:val="1"/>
      <w:marLeft w:val="0"/>
      <w:marRight w:val="0"/>
      <w:marTop w:val="0"/>
      <w:marBottom w:val="0"/>
      <w:divBdr>
        <w:top w:val="none" w:sz="0" w:space="0" w:color="auto"/>
        <w:left w:val="none" w:sz="0" w:space="0" w:color="auto"/>
        <w:bottom w:val="none" w:sz="0" w:space="0" w:color="auto"/>
        <w:right w:val="none" w:sz="0" w:space="0" w:color="auto"/>
      </w:divBdr>
    </w:div>
    <w:div w:id="1965621638">
      <w:bodyDiv w:val="1"/>
      <w:marLeft w:val="0"/>
      <w:marRight w:val="0"/>
      <w:marTop w:val="0"/>
      <w:marBottom w:val="0"/>
      <w:divBdr>
        <w:top w:val="none" w:sz="0" w:space="0" w:color="auto"/>
        <w:left w:val="none" w:sz="0" w:space="0" w:color="auto"/>
        <w:bottom w:val="none" w:sz="0" w:space="0" w:color="auto"/>
        <w:right w:val="none" w:sz="0" w:space="0" w:color="auto"/>
      </w:divBdr>
    </w:div>
    <w:div w:id="2057313003">
      <w:bodyDiv w:val="1"/>
      <w:marLeft w:val="0"/>
      <w:marRight w:val="0"/>
      <w:marTop w:val="0"/>
      <w:marBottom w:val="0"/>
      <w:divBdr>
        <w:top w:val="none" w:sz="0" w:space="0" w:color="auto"/>
        <w:left w:val="none" w:sz="0" w:space="0" w:color="auto"/>
        <w:bottom w:val="none" w:sz="0" w:space="0" w:color="auto"/>
        <w:right w:val="none" w:sz="0" w:space="0" w:color="auto"/>
      </w:divBdr>
    </w:div>
    <w:div w:id="2099406238">
      <w:bodyDiv w:val="1"/>
      <w:marLeft w:val="0"/>
      <w:marRight w:val="0"/>
      <w:marTop w:val="0"/>
      <w:marBottom w:val="0"/>
      <w:divBdr>
        <w:top w:val="none" w:sz="0" w:space="0" w:color="auto"/>
        <w:left w:val="none" w:sz="0" w:space="0" w:color="auto"/>
        <w:bottom w:val="none" w:sz="0" w:space="0" w:color="auto"/>
        <w:right w:val="none" w:sz="0" w:space="0" w:color="auto"/>
      </w:divBdr>
    </w:div>
    <w:div w:id="2136096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xfordahsn.org/our-work/corporate-activities/partner-showcases-2017/innovation-and-impact-partner-showcase-oxford-unipart-18-may-20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lfh.org.uk/programmes/continence-and-catheter-care/" TargetMode="External"/><Relationship Id="rId17" Type="http://schemas.openxmlformats.org/officeDocument/2006/relationships/hyperlink" Target="http://www.cqc.org.uk/sites/default/files/20170915_freedom_to_speak_up_guardian_survey2017.pdf" TargetMode="External"/><Relationship Id="rId2" Type="http://schemas.openxmlformats.org/officeDocument/2006/relationships/customXml" Target="../customXml/item2.xml"/><Relationship Id="rId16" Type="http://schemas.openxmlformats.org/officeDocument/2006/relationships/hyperlink" Target="http://www.oxfordahsn.org/news-and-events/news/professor-gary-ford-appointed-vice-chair-of-ahsn-networ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xfordahsn.org/wp-content/uploads/2017/10/171005_Year-5-Q2-Oxford-AHSN-FINAL.pdf" TargetMode="External"/><Relationship Id="rId5" Type="http://schemas.microsoft.com/office/2007/relationships/stylesWithEffects" Target="stylesWithEffects.xml"/><Relationship Id="rId15" Type="http://schemas.openxmlformats.org/officeDocument/2006/relationships/hyperlink" Target="https://acmedsci.ac.uk/more/news/digital-maturity-of-local-health-and-social-care-systems"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oxfordahsn.org/news-and-events/news/digital-health-partnership-wins-oxford-ahsn-a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86C34-58C6-467B-8809-EB52D33DD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2673</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Oxfordshire Mental Healthcare NHS Trust</Company>
  <LinksUpToDate>false</LinksUpToDate>
  <CharactersWithSpaces>18250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Bell CEO</dc:creator>
  <cp:lastModifiedBy>Rogers Kerry (RNU) Oxford Health</cp:lastModifiedBy>
  <cp:revision>2</cp:revision>
  <cp:lastPrinted>2017-05-19T11:38:00Z</cp:lastPrinted>
  <dcterms:created xsi:type="dcterms:W3CDTF">2017-10-23T10:38:00Z</dcterms:created>
  <dcterms:modified xsi:type="dcterms:W3CDTF">2017-10-23T10:38:00Z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1033-10.2.0.5820</vt:lpwstr>
  </property>
</Properties>
</file>