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B5C" w:rsidRDefault="00E11B5C" w:rsidP="00E11B5C">
      <w:pPr>
        <w:autoSpaceDE w:val="0"/>
        <w:autoSpaceDN w:val="0"/>
        <w:adjustRightInd w:val="0"/>
        <w:spacing w:after="0" w:line="240" w:lineRule="auto"/>
        <w:jc w:val="right"/>
        <w:rPr>
          <w:rFonts w:ascii="Segoe UI" w:hAnsi="Segoe UI" w:cs="Segoe UI"/>
          <w:b/>
          <w:bCs/>
        </w:rPr>
      </w:pPr>
      <w:bookmarkStart w:id="0" w:name="_GoBack"/>
      <w:bookmarkEnd w:id="0"/>
      <w:r w:rsidRPr="00C4030A">
        <w:rPr>
          <w:rFonts w:ascii="Segoe UI" w:hAnsi="Segoe UI" w:cs="Segoe UI"/>
          <w:b/>
          <w:noProof/>
          <w:sz w:val="32"/>
          <w:szCs w:val="32"/>
        </w:rPr>
        <w:drawing>
          <wp:inline distT="0" distB="0" distL="0" distR="0" wp14:anchorId="4846DCA1" wp14:editId="618AFA08">
            <wp:extent cx="2023110" cy="396240"/>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023110" cy="396240"/>
                    </a:xfrm>
                    <a:prstGeom prst="rect">
                      <a:avLst/>
                    </a:prstGeom>
                    <a:noFill/>
                    <a:ln w="9525">
                      <a:noFill/>
                      <a:miter lim="800000"/>
                      <a:headEnd/>
                      <a:tailEnd/>
                    </a:ln>
                  </pic:spPr>
                </pic:pic>
              </a:graphicData>
            </a:graphic>
          </wp:inline>
        </w:drawing>
      </w:r>
    </w:p>
    <w:p w:rsidR="00E11B5C" w:rsidRDefault="00E11B5C" w:rsidP="00B671C0">
      <w:pPr>
        <w:autoSpaceDE w:val="0"/>
        <w:autoSpaceDN w:val="0"/>
        <w:adjustRightInd w:val="0"/>
        <w:spacing w:after="0" w:line="240" w:lineRule="auto"/>
        <w:jc w:val="center"/>
        <w:rPr>
          <w:rFonts w:ascii="Segoe UI" w:hAnsi="Segoe UI" w:cs="Segoe UI"/>
          <w:b/>
          <w:bCs/>
        </w:rPr>
      </w:pPr>
    </w:p>
    <w:p w:rsidR="0000383A" w:rsidRPr="00176973" w:rsidRDefault="00E11B5C" w:rsidP="00B671C0">
      <w:pPr>
        <w:autoSpaceDE w:val="0"/>
        <w:autoSpaceDN w:val="0"/>
        <w:adjustRightInd w:val="0"/>
        <w:spacing w:after="0" w:line="240" w:lineRule="auto"/>
        <w:jc w:val="center"/>
        <w:rPr>
          <w:rFonts w:ascii="Segoe UI" w:hAnsi="Segoe UI" w:cs="Segoe UI"/>
          <w:b/>
          <w:bCs/>
        </w:rPr>
      </w:pPr>
      <w:r>
        <w:rPr>
          <w:rFonts w:ascii="Segoe UI" w:hAnsi="Segoe UI" w:cs="Segoe UI"/>
          <w:b/>
          <w:bCs/>
        </w:rPr>
        <w:t>E</w:t>
      </w:r>
      <w:r w:rsidR="0000383A" w:rsidRPr="00176973">
        <w:rPr>
          <w:rFonts w:ascii="Segoe UI" w:hAnsi="Segoe UI" w:cs="Segoe UI"/>
          <w:b/>
          <w:bCs/>
        </w:rPr>
        <w:t xml:space="preserve">mergency </w:t>
      </w:r>
      <w:r w:rsidR="00A11603">
        <w:rPr>
          <w:rFonts w:ascii="Segoe UI" w:hAnsi="Segoe UI" w:cs="Segoe UI"/>
          <w:b/>
          <w:bCs/>
        </w:rPr>
        <w:t>preparedness, r</w:t>
      </w:r>
      <w:r w:rsidR="00B173CE">
        <w:rPr>
          <w:rFonts w:ascii="Segoe UI" w:hAnsi="Segoe UI" w:cs="Segoe UI"/>
          <w:b/>
          <w:bCs/>
        </w:rPr>
        <w:t xml:space="preserve">esilience and </w:t>
      </w:r>
      <w:r w:rsidR="00A11603">
        <w:rPr>
          <w:rFonts w:ascii="Segoe UI" w:hAnsi="Segoe UI" w:cs="Segoe UI"/>
          <w:b/>
          <w:bCs/>
        </w:rPr>
        <w:t>r</w:t>
      </w:r>
      <w:r w:rsidR="00B173CE">
        <w:rPr>
          <w:rFonts w:ascii="Segoe UI" w:hAnsi="Segoe UI" w:cs="Segoe UI"/>
          <w:b/>
          <w:bCs/>
        </w:rPr>
        <w:t>esponse</w:t>
      </w:r>
      <w:r w:rsidR="0000383A" w:rsidRPr="00176973">
        <w:rPr>
          <w:rFonts w:ascii="Segoe UI" w:hAnsi="Segoe UI" w:cs="Segoe UI"/>
          <w:b/>
          <w:bCs/>
        </w:rPr>
        <w:t xml:space="preserve"> </w:t>
      </w:r>
    </w:p>
    <w:p w:rsidR="0000383A" w:rsidRPr="00176973" w:rsidRDefault="005B41AF" w:rsidP="00B671C0">
      <w:pPr>
        <w:autoSpaceDE w:val="0"/>
        <w:autoSpaceDN w:val="0"/>
        <w:adjustRightInd w:val="0"/>
        <w:spacing w:after="0" w:line="240" w:lineRule="auto"/>
        <w:jc w:val="center"/>
        <w:rPr>
          <w:rFonts w:ascii="Segoe UI" w:hAnsi="Segoe UI" w:cs="Segoe UI"/>
          <w:b/>
          <w:bCs/>
        </w:rPr>
      </w:pPr>
      <w:r>
        <w:rPr>
          <w:rFonts w:ascii="Segoe UI" w:hAnsi="Segoe UI" w:cs="Segoe UI"/>
          <w:b/>
          <w:bCs/>
        </w:rPr>
        <w:t>Annual r</w:t>
      </w:r>
      <w:r w:rsidR="0000383A" w:rsidRPr="00176973">
        <w:rPr>
          <w:rFonts w:ascii="Segoe UI" w:hAnsi="Segoe UI" w:cs="Segoe UI"/>
          <w:b/>
          <w:bCs/>
        </w:rPr>
        <w:t>eport</w:t>
      </w:r>
    </w:p>
    <w:p w:rsidR="007C2232" w:rsidRPr="00176973" w:rsidRDefault="005F4FC6" w:rsidP="007F3BCF">
      <w:pPr>
        <w:autoSpaceDE w:val="0"/>
        <w:autoSpaceDN w:val="0"/>
        <w:adjustRightInd w:val="0"/>
        <w:spacing w:after="0" w:line="240" w:lineRule="auto"/>
        <w:jc w:val="center"/>
        <w:rPr>
          <w:rFonts w:ascii="Segoe UI" w:hAnsi="Segoe UI" w:cs="Segoe UI"/>
          <w:b/>
          <w:bCs/>
        </w:rPr>
      </w:pPr>
      <w:r w:rsidRPr="00176973">
        <w:rPr>
          <w:rFonts w:ascii="Segoe UI" w:hAnsi="Segoe UI" w:cs="Segoe UI"/>
          <w:b/>
          <w:bCs/>
        </w:rPr>
        <w:t>0</w:t>
      </w:r>
      <w:r w:rsidR="007C2232" w:rsidRPr="00176973">
        <w:rPr>
          <w:rFonts w:ascii="Segoe UI" w:hAnsi="Segoe UI" w:cs="Segoe UI"/>
          <w:b/>
          <w:bCs/>
        </w:rPr>
        <w:t>1 April 201</w:t>
      </w:r>
      <w:r w:rsidR="00B173CE">
        <w:rPr>
          <w:rFonts w:ascii="Segoe UI" w:hAnsi="Segoe UI" w:cs="Segoe UI"/>
          <w:b/>
          <w:bCs/>
        </w:rPr>
        <w:t>4</w:t>
      </w:r>
      <w:r w:rsidR="007C2232" w:rsidRPr="00176973">
        <w:rPr>
          <w:rFonts w:ascii="Segoe UI" w:hAnsi="Segoe UI" w:cs="Segoe UI"/>
          <w:b/>
          <w:bCs/>
        </w:rPr>
        <w:t xml:space="preserve"> –</w:t>
      </w:r>
      <w:r w:rsidR="00B84F0F" w:rsidRPr="00176973">
        <w:rPr>
          <w:rFonts w:ascii="Segoe UI" w:hAnsi="Segoe UI" w:cs="Segoe UI"/>
          <w:b/>
          <w:bCs/>
        </w:rPr>
        <w:t xml:space="preserve"> 31 March 201</w:t>
      </w:r>
      <w:r w:rsidR="00B173CE">
        <w:rPr>
          <w:rFonts w:ascii="Segoe UI" w:hAnsi="Segoe UI" w:cs="Segoe UI"/>
          <w:b/>
          <w:bCs/>
        </w:rPr>
        <w:t>5</w:t>
      </w:r>
    </w:p>
    <w:p w:rsidR="00B84F0F" w:rsidRPr="00176973" w:rsidRDefault="00B84F0F" w:rsidP="004A298A">
      <w:pPr>
        <w:autoSpaceDE w:val="0"/>
        <w:autoSpaceDN w:val="0"/>
        <w:adjustRightInd w:val="0"/>
        <w:spacing w:after="0" w:line="240" w:lineRule="auto"/>
        <w:jc w:val="both"/>
        <w:rPr>
          <w:rFonts w:ascii="Segoe UI" w:hAnsi="Segoe UI" w:cs="Segoe UI"/>
          <w:b/>
          <w:bCs/>
        </w:rPr>
      </w:pPr>
    </w:p>
    <w:p w:rsidR="00B84F0F" w:rsidRPr="00176973" w:rsidRDefault="00B84F0F" w:rsidP="004A298A">
      <w:pPr>
        <w:autoSpaceDE w:val="0"/>
        <w:autoSpaceDN w:val="0"/>
        <w:adjustRightInd w:val="0"/>
        <w:spacing w:after="0" w:line="240" w:lineRule="auto"/>
        <w:jc w:val="both"/>
        <w:rPr>
          <w:rFonts w:ascii="Segoe UI" w:hAnsi="Segoe UI" w:cs="Segoe UI"/>
          <w:b/>
          <w:bCs/>
        </w:rPr>
      </w:pPr>
    </w:p>
    <w:p w:rsidR="007C2232" w:rsidRPr="00176973" w:rsidRDefault="007C2232" w:rsidP="00817798">
      <w:pPr>
        <w:pStyle w:val="Heading1"/>
        <w:rPr>
          <w:rFonts w:ascii="Segoe UI" w:hAnsi="Segoe UI" w:cs="Segoe UI"/>
          <w:sz w:val="22"/>
          <w:szCs w:val="22"/>
        </w:rPr>
      </w:pPr>
      <w:r w:rsidRPr="00176973">
        <w:rPr>
          <w:rFonts w:ascii="Segoe UI" w:hAnsi="Segoe UI" w:cs="Segoe UI"/>
          <w:sz w:val="22"/>
          <w:szCs w:val="22"/>
        </w:rPr>
        <w:t>Introduction</w:t>
      </w:r>
    </w:p>
    <w:p w:rsidR="00F608CF" w:rsidRPr="00176973" w:rsidRDefault="007C2232" w:rsidP="0076180C">
      <w:pPr>
        <w:autoSpaceDE w:val="0"/>
        <w:autoSpaceDN w:val="0"/>
        <w:adjustRightInd w:val="0"/>
        <w:spacing w:after="0" w:line="240" w:lineRule="auto"/>
        <w:ind w:left="567"/>
        <w:jc w:val="both"/>
        <w:rPr>
          <w:rFonts w:ascii="Segoe UI" w:hAnsi="Segoe UI" w:cs="Segoe UI"/>
        </w:rPr>
      </w:pPr>
      <w:r w:rsidRPr="00176973">
        <w:rPr>
          <w:rFonts w:ascii="Segoe UI" w:hAnsi="Segoe UI" w:cs="Segoe UI"/>
        </w:rPr>
        <w:t>This report describes the emergency planning</w:t>
      </w:r>
      <w:r w:rsidR="005F4FC6" w:rsidRPr="00176973">
        <w:rPr>
          <w:rFonts w:ascii="Segoe UI" w:hAnsi="Segoe UI" w:cs="Segoe UI"/>
        </w:rPr>
        <w:t xml:space="preserve"> and business continuity</w:t>
      </w:r>
      <w:r w:rsidRPr="00176973">
        <w:rPr>
          <w:rFonts w:ascii="Segoe UI" w:hAnsi="Segoe UI" w:cs="Segoe UI"/>
        </w:rPr>
        <w:t xml:space="preserve"> activities of</w:t>
      </w:r>
      <w:r w:rsidR="00B84F0F" w:rsidRPr="00176973">
        <w:rPr>
          <w:rFonts w:ascii="Segoe UI" w:hAnsi="Segoe UI" w:cs="Segoe UI"/>
        </w:rPr>
        <w:t xml:space="preserve"> </w:t>
      </w:r>
      <w:r w:rsidRPr="00176973">
        <w:rPr>
          <w:rFonts w:ascii="Segoe UI" w:hAnsi="Segoe UI" w:cs="Segoe UI"/>
        </w:rPr>
        <w:t xml:space="preserve">Oxford </w:t>
      </w:r>
      <w:r w:rsidR="00B84F0F" w:rsidRPr="00176973">
        <w:rPr>
          <w:rFonts w:ascii="Segoe UI" w:hAnsi="Segoe UI" w:cs="Segoe UI"/>
        </w:rPr>
        <w:t>H</w:t>
      </w:r>
      <w:r w:rsidRPr="00176973">
        <w:rPr>
          <w:rFonts w:ascii="Segoe UI" w:hAnsi="Segoe UI" w:cs="Segoe UI"/>
        </w:rPr>
        <w:t>ealth NHS Foundation Trust during 201</w:t>
      </w:r>
      <w:r w:rsidR="00B173CE">
        <w:rPr>
          <w:rFonts w:ascii="Segoe UI" w:hAnsi="Segoe UI" w:cs="Segoe UI"/>
        </w:rPr>
        <w:t>4</w:t>
      </w:r>
      <w:r w:rsidRPr="00176973">
        <w:rPr>
          <w:rFonts w:ascii="Segoe UI" w:hAnsi="Segoe UI" w:cs="Segoe UI"/>
        </w:rPr>
        <w:t>/1</w:t>
      </w:r>
      <w:r w:rsidR="00B173CE">
        <w:rPr>
          <w:rFonts w:ascii="Segoe UI" w:hAnsi="Segoe UI" w:cs="Segoe UI"/>
        </w:rPr>
        <w:t>5</w:t>
      </w:r>
      <w:r w:rsidRPr="00176973">
        <w:rPr>
          <w:rFonts w:ascii="Segoe UI" w:hAnsi="Segoe UI" w:cs="Segoe UI"/>
        </w:rPr>
        <w:t xml:space="preserve"> in order to meet the</w:t>
      </w:r>
      <w:r w:rsidR="00B84F0F" w:rsidRPr="00176973">
        <w:rPr>
          <w:rFonts w:ascii="Segoe UI" w:hAnsi="Segoe UI" w:cs="Segoe UI"/>
        </w:rPr>
        <w:t xml:space="preserve"> </w:t>
      </w:r>
      <w:r w:rsidRPr="00176973">
        <w:rPr>
          <w:rFonts w:ascii="Segoe UI" w:hAnsi="Segoe UI" w:cs="Segoe UI"/>
        </w:rPr>
        <w:t xml:space="preserve">requirements of the Civil Contingencies Act 2004 and </w:t>
      </w:r>
      <w:r w:rsidR="005F4FC6" w:rsidRPr="00176973">
        <w:rPr>
          <w:rFonts w:ascii="Segoe UI" w:hAnsi="Segoe UI" w:cs="Segoe UI"/>
        </w:rPr>
        <w:t>the NHS England Emergency Preparedness Framework 2013.</w:t>
      </w:r>
      <w:r w:rsidR="00B84F0F" w:rsidRPr="00176973">
        <w:rPr>
          <w:rFonts w:ascii="Segoe UI" w:hAnsi="Segoe UI" w:cs="Segoe UI"/>
        </w:rPr>
        <w:t xml:space="preserve">  </w:t>
      </w:r>
    </w:p>
    <w:p w:rsidR="00F608CF" w:rsidRPr="00176973" w:rsidRDefault="00F608CF" w:rsidP="0076180C">
      <w:pPr>
        <w:autoSpaceDE w:val="0"/>
        <w:autoSpaceDN w:val="0"/>
        <w:adjustRightInd w:val="0"/>
        <w:spacing w:after="0" w:line="240" w:lineRule="auto"/>
        <w:ind w:left="567"/>
        <w:rPr>
          <w:rFonts w:ascii="Segoe UI" w:hAnsi="Segoe UI" w:cs="Segoe UI"/>
          <w:color w:val="FF0000"/>
        </w:rPr>
      </w:pPr>
    </w:p>
    <w:p w:rsidR="00A93BE9" w:rsidRPr="00176973" w:rsidRDefault="000860B4" w:rsidP="0076180C">
      <w:pPr>
        <w:pStyle w:val="ListParagraph"/>
        <w:autoSpaceDE w:val="0"/>
        <w:autoSpaceDN w:val="0"/>
        <w:adjustRightInd w:val="0"/>
        <w:spacing w:after="0" w:line="240" w:lineRule="auto"/>
        <w:ind w:left="567"/>
        <w:jc w:val="both"/>
        <w:rPr>
          <w:rFonts w:ascii="Segoe UI" w:hAnsi="Segoe UI" w:cs="Segoe UI"/>
        </w:rPr>
      </w:pPr>
      <w:r w:rsidRPr="00176973">
        <w:rPr>
          <w:rFonts w:ascii="Segoe UI" w:hAnsi="Segoe UI" w:cs="Segoe UI"/>
        </w:rPr>
        <w:t>Yvonne Taylor</w:t>
      </w:r>
      <w:r w:rsidR="007C2232" w:rsidRPr="00176973">
        <w:rPr>
          <w:rFonts w:ascii="Segoe UI" w:hAnsi="Segoe UI" w:cs="Segoe UI"/>
        </w:rPr>
        <w:t>, Chief Operating Officer</w:t>
      </w:r>
      <w:r w:rsidR="00F608CF" w:rsidRPr="00176973">
        <w:rPr>
          <w:rFonts w:ascii="Segoe UI" w:hAnsi="Segoe UI" w:cs="Segoe UI"/>
        </w:rPr>
        <w:t xml:space="preserve"> is</w:t>
      </w:r>
      <w:r w:rsidR="004F3BBF" w:rsidRPr="00176973">
        <w:rPr>
          <w:rFonts w:ascii="Segoe UI" w:hAnsi="Segoe UI" w:cs="Segoe UI"/>
        </w:rPr>
        <w:t xml:space="preserve"> the </w:t>
      </w:r>
      <w:r w:rsidR="005F19A0">
        <w:rPr>
          <w:rFonts w:ascii="Segoe UI" w:hAnsi="Segoe UI" w:cs="Segoe UI"/>
        </w:rPr>
        <w:t>a</w:t>
      </w:r>
      <w:r w:rsidR="004F3BBF" w:rsidRPr="00176973">
        <w:rPr>
          <w:rFonts w:ascii="Segoe UI" w:hAnsi="Segoe UI" w:cs="Segoe UI"/>
        </w:rPr>
        <w:t xml:space="preserve">ccountable </w:t>
      </w:r>
      <w:r w:rsidR="005F19A0">
        <w:rPr>
          <w:rFonts w:ascii="Segoe UI" w:hAnsi="Segoe UI" w:cs="Segoe UI"/>
        </w:rPr>
        <w:t>e</w:t>
      </w:r>
      <w:r w:rsidR="004F3BBF" w:rsidRPr="00176973">
        <w:rPr>
          <w:rFonts w:ascii="Segoe UI" w:hAnsi="Segoe UI" w:cs="Segoe UI"/>
        </w:rPr>
        <w:t xml:space="preserve">mergency </w:t>
      </w:r>
      <w:r w:rsidR="005F19A0">
        <w:rPr>
          <w:rFonts w:ascii="Segoe UI" w:hAnsi="Segoe UI" w:cs="Segoe UI"/>
        </w:rPr>
        <w:t>o</w:t>
      </w:r>
      <w:r w:rsidR="004F3BBF" w:rsidRPr="00176973">
        <w:rPr>
          <w:rFonts w:ascii="Segoe UI" w:hAnsi="Segoe UI" w:cs="Segoe UI"/>
        </w:rPr>
        <w:t>fficer</w:t>
      </w:r>
      <w:r w:rsidR="00F608CF" w:rsidRPr="00176973">
        <w:rPr>
          <w:rFonts w:ascii="Segoe UI" w:hAnsi="Segoe UI" w:cs="Segoe UI"/>
        </w:rPr>
        <w:t xml:space="preserve"> </w:t>
      </w:r>
      <w:r w:rsidR="004F3BBF" w:rsidRPr="00176973">
        <w:rPr>
          <w:rFonts w:ascii="Segoe UI" w:hAnsi="Segoe UI" w:cs="Segoe UI"/>
        </w:rPr>
        <w:t xml:space="preserve">and holds executive </w:t>
      </w:r>
      <w:r w:rsidR="00F608CF" w:rsidRPr="00176973">
        <w:rPr>
          <w:rFonts w:ascii="Segoe UI" w:hAnsi="Segoe UI" w:cs="Segoe UI"/>
        </w:rPr>
        <w:t>responsibility for emergency preparedness on behalf of the organisation</w:t>
      </w:r>
      <w:r w:rsidR="004F3BBF" w:rsidRPr="00176973">
        <w:rPr>
          <w:rFonts w:ascii="Segoe UI" w:hAnsi="Segoe UI" w:cs="Segoe UI"/>
        </w:rPr>
        <w:t xml:space="preserve">.  </w:t>
      </w:r>
      <w:r w:rsidR="00F608CF" w:rsidRPr="00176973">
        <w:rPr>
          <w:rFonts w:ascii="Segoe UI" w:hAnsi="Segoe UI" w:cs="Segoe UI"/>
        </w:rPr>
        <w:t xml:space="preserve">Mike Bellamy is the </w:t>
      </w:r>
      <w:r w:rsidR="005F19A0">
        <w:rPr>
          <w:rFonts w:ascii="Segoe UI" w:hAnsi="Segoe UI" w:cs="Segoe UI"/>
        </w:rPr>
        <w:t>n</w:t>
      </w:r>
      <w:r w:rsidR="00F608CF" w:rsidRPr="00176973">
        <w:rPr>
          <w:rFonts w:ascii="Segoe UI" w:hAnsi="Segoe UI" w:cs="Segoe UI"/>
        </w:rPr>
        <w:t>on-</w:t>
      </w:r>
      <w:r w:rsidR="005F19A0">
        <w:rPr>
          <w:rFonts w:ascii="Segoe UI" w:hAnsi="Segoe UI" w:cs="Segoe UI"/>
        </w:rPr>
        <w:t>e</w:t>
      </w:r>
      <w:r w:rsidR="00F608CF" w:rsidRPr="00176973">
        <w:rPr>
          <w:rFonts w:ascii="Segoe UI" w:hAnsi="Segoe UI" w:cs="Segoe UI"/>
        </w:rPr>
        <w:t xml:space="preserve">xecutive </w:t>
      </w:r>
      <w:r w:rsidR="005F19A0">
        <w:rPr>
          <w:rFonts w:ascii="Segoe UI" w:hAnsi="Segoe UI" w:cs="Segoe UI"/>
        </w:rPr>
        <w:t>d</w:t>
      </w:r>
      <w:r w:rsidR="00F608CF" w:rsidRPr="00176973">
        <w:rPr>
          <w:rFonts w:ascii="Segoe UI" w:hAnsi="Segoe UI" w:cs="Segoe UI"/>
        </w:rPr>
        <w:t xml:space="preserve">irector of the Board nominated to support the </w:t>
      </w:r>
      <w:r w:rsidR="005F19A0">
        <w:rPr>
          <w:rFonts w:ascii="Segoe UI" w:hAnsi="Segoe UI" w:cs="Segoe UI"/>
        </w:rPr>
        <w:t>a</w:t>
      </w:r>
      <w:r w:rsidR="00AA731B">
        <w:rPr>
          <w:rFonts w:ascii="Segoe UI" w:hAnsi="Segoe UI" w:cs="Segoe UI"/>
        </w:rPr>
        <w:t xml:space="preserve">ccountable </w:t>
      </w:r>
      <w:r w:rsidR="005F19A0">
        <w:rPr>
          <w:rFonts w:ascii="Segoe UI" w:hAnsi="Segoe UI" w:cs="Segoe UI"/>
        </w:rPr>
        <w:t>e</w:t>
      </w:r>
      <w:r w:rsidR="00AA731B">
        <w:rPr>
          <w:rFonts w:ascii="Segoe UI" w:hAnsi="Segoe UI" w:cs="Segoe UI"/>
        </w:rPr>
        <w:t xml:space="preserve">mergency </w:t>
      </w:r>
      <w:r w:rsidR="005F19A0">
        <w:rPr>
          <w:rFonts w:ascii="Segoe UI" w:hAnsi="Segoe UI" w:cs="Segoe UI"/>
        </w:rPr>
        <w:t>o</w:t>
      </w:r>
      <w:r w:rsidR="00AA731B">
        <w:rPr>
          <w:rFonts w:ascii="Segoe UI" w:hAnsi="Segoe UI" w:cs="Segoe UI"/>
        </w:rPr>
        <w:t>fficer</w:t>
      </w:r>
      <w:r w:rsidR="00F608CF" w:rsidRPr="00176973">
        <w:rPr>
          <w:rFonts w:ascii="Segoe UI" w:hAnsi="Segoe UI" w:cs="Segoe UI"/>
        </w:rPr>
        <w:t>.  K</w:t>
      </w:r>
      <w:r w:rsidR="00B84F0F" w:rsidRPr="00176973">
        <w:rPr>
          <w:rFonts w:ascii="Segoe UI" w:hAnsi="Segoe UI" w:cs="Segoe UI"/>
        </w:rPr>
        <w:t xml:space="preserve">atie Cleaver is the </w:t>
      </w:r>
      <w:r w:rsidR="00F608CF" w:rsidRPr="00176973">
        <w:rPr>
          <w:rFonts w:ascii="Segoe UI" w:hAnsi="Segoe UI" w:cs="Segoe UI"/>
        </w:rPr>
        <w:t xml:space="preserve">designated </w:t>
      </w:r>
      <w:r w:rsidR="00B84F0F" w:rsidRPr="00176973">
        <w:rPr>
          <w:rFonts w:ascii="Segoe UI" w:hAnsi="Segoe UI" w:cs="Segoe UI"/>
        </w:rPr>
        <w:t>Emergency Planning Lead</w:t>
      </w:r>
      <w:r w:rsidR="00F608CF" w:rsidRPr="00176973">
        <w:rPr>
          <w:rFonts w:ascii="Segoe UI" w:hAnsi="Segoe UI" w:cs="Segoe UI"/>
        </w:rPr>
        <w:t xml:space="preserve"> and responsible for supporting the </w:t>
      </w:r>
      <w:r w:rsidR="0004686A" w:rsidRPr="00176973">
        <w:rPr>
          <w:rFonts w:ascii="Segoe UI" w:hAnsi="Segoe UI" w:cs="Segoe UI"/>
        </w:rPr>
        <w:t>E</w:t>
      </w:r>
      <w:r w:rsidR="000574D3" w:rsidRPr="00176973">
        <w:rPr>
          <w:rFonts w:ascii="Segoe UI" w:hAnsi="Segoe UI" w:cs="Segoe UI"/>
        </w:rPr>
        <w:t>xecutive in the discharge of their duties</w:t>
      </w:r>
      <w:r w:rsidR="00F608CF" w:rsidRPr="00176973">
        <w:rPr>
          <w:rFonts w:ascii="Segoe UI" w:hAnsi="Segoe UI" w:cs="Segoe UI"/>
        </w:rPr>
        <w:t xml:space="preserve"> </w:t>
      </w:r>
      <w:r w:rsidR="000574D3" w:rsidRPr="00176973">
        <w:rPr>
          <w:rFonts w:ascii="Segoe UI" w:hAnsi="Segoe UI" w:cs="Segoe UI"/>
        </w:rPr>
        <w:t>for emergency preparedness.</w:t>
      </w:r>
      <w:r w:rsidR="005F256E" w:rsidRPr="00176973">
        <w:rPr>
          <w:rFonts w:ascii="Segoe UI" w:hAnsi="Segoe UI" w:cs="Segoe UI"/>
        </w:rPr>
        <w:t xml:space="preserve">  </w:t>
      </w:r>
      <w:r w:rsidR="007F3BCF" w:rsidRPr="00176973">
        <w:rPr>
          <w:rFonts w:ascii="Segoe UI" w:hAnsi="Segoe UI" w:cs="Segoe UI"/>
        </w:rPr>
        <w:t xml:space="preserve">The emergency preparedness work programme for the Trust is progressed through the </w:t>
      </w:r>
      <w:r w:rsidR="005F19A0">
        <w:rPr>
          <w:rFonts w:ascii="Segoe UI" w:hAnsi="Segoe UI" w:cs="Segoe UI"/>
        </w:rPr>
        <w:t>e</w:t>
      </w:r>
      <w:r w:rsidR="007F3BCF" w:rsidRPr="00176973">
        <w:rPr>
          <w:rFonts w:ascii="Segoe UI" w:hAnsi="Segoe UI" w:cs="Segoe UI"/>
        </w:rPr>
        <w:t xml:space="preserve">mergency </w:t>
      </w:r>
      <w:r w:rsidR="005F19A0">
        <w:rPr>
          <w:rFonts w:ascii="Segoe UI" w:hAnsi="Segoe UI" w:cs="Segoe UI"/>
        </w:rPr>
        <w:t>p</w:t>
      </w:r>
      <w:r w:rsidR="007F3BCF" w:rsidRPr="00176973">
        <w:rPr>
          <w:rFonts w:ascii="Segoe UI" w:hAnsi="Segoe UI" w:cs="Segoe UI"/>
        </w:rPr>
        <w:t xml:space="preserve">lanning </w:t>
      </w:r>
      <w:r w:rsidR="005F19A0">
        <w:rPr>
          <w:rFonts w:ascii="Segoe UI" w:hAnsi="Segoe UI" w:cs="Segoe UI"/>
        </w:rPr>
        <w:t>g</w:t>
      </w:r>
      <w:r w:rsidR="007F3BCF" w:rsidRPr="00176973">
        <w:rPr>
          <w:rFonts w:ascii="Segoe UI" w:hAnsi="Segoe UI" w:cs="Segoe UI"/>
        </w:rPr>
        <w:t>roup</w:t>
      </w:r>
      <w:r w:rsidR="002A06A3" w:rsidRPr="00176973">
        <w:rPr>
          <w:rFonts w:ascii="Segoe UI" w:hAnsi="Segoe UI" w:cs="Segoe UI"/>
        </w:rPr>
        <w:t xml:space="preserve"> chaired by the </w:t>
      </w:r>
      <w:r w:rsidR="00B173CE">
        <w:rPr>
          <w:rFonts w:ascii="Segoe UI" w:hAnsi="Segoe UI" w:cs="Segoe UI"/>
        </w:rPr>
        <w:t>Chief Operating Of</w:t>
      </w:r>
      <w:r w:rsidR="003C15BB">
        <w:rPr>
          <w:rFonts w:ascii="Segoe UI" w:hAnsi="Segoe UI" w:cs="Segoe UI"/>
        </w:rPr>
        <w:t>ficer with representation from d</w:t>
      </w:r>
      <w:r w:rsidR="00B173CE">
        <w:rPr>
          <w:rFonts w:ascii="Segoe UI" w:hAnsi="Segoe UI" w:cs="Segoe UI"/>
        </w:rPr>
        <w:t>irectorates</w:t>
      </w:r>
      <w:r w:rsidR="005F256E" w:rsidRPr="00176973">
        <w:rPr>
          <w:rFonts w:ascii="Segoe UI" w:hAnsi="Segoe UI" w:cs="Segoe UI"/>
        </w:rPr>
        <w:t xml:space="preserve">, </w:t>
      </w:r>
      <w:r w:rsidR="003C15BB">
        <w:rPr>
          <w:rFonts w:ascii="Segoe UI" w:hAnsi="Segoe UI" w:cs="Segoe UI"/>
        </w:rPr>
        <w:t>c</w:t>
      </w:r>
      <w:r w:rsidR="005F256E" w:rsidRPr="00176973">
        <w:rPr>
          <w:rFonts w:ascii="Segoe UI" w:hAnsi="Segoe UI" w:cs="Segoe UI"/>
        </w:rPr>
        <w:t xml:space="preserve">ommunications, </w:t>
      </w:r>
      <w:r w:rsidR="003C15BB">
        <w:rPr>
          <w:rFonts w:ascii="Segoe UI" w:hAnsi="Segoe UI" w:cs="Segoe UI"/>
        </w:rPr>
        <w:t>human r</w:t>
      </w:r>
      <w:r w:rsidR="005F256E" w:rsidRPr="00176973">
        <w:rPr>
          <w:rFonts w:ascii="Segoe UI" w:hAnsi="Segoe UI" w:cs="Segoe UI"/>
        </w:rPr>
        <w:t>esources and</w:t>
      </w:r>
      <w:r w:rsidR="003C15BB">
        <w:rPr>
          <w:rFonts w:ascii="Segoe UI" w:hAnsi="Segoe UI" w:cs="Segoe UI"/>
        </w:rPr>
        <w:t xml:space="preserve"> f</w:t>
      </w:r>
      <w:r w:rsidR="005F256E" w:rsidRPr="00176973">
        <w:rPr>
          <w:rFonts w:ascii="Segoe UI" w:hAnsi="Segoe UI" w:cs="Segoe UI"/>
        </w:rPr>
        <w:t>acilities.</w:t>
      </w:r>
      <w:r w:rsidR="00772393" w:rsidRPr="00176973">
        <w:rPr>
          <w:rFonts w:ascii="Segoe UI" w:hAnsi="Segoe UI" w:cs="Segoe UI"/>
        </w:rPr>
        <w:t xml:space="preserve">  </w:t>
      </w:r>
    </w:p>
    <w:p w:rsidR="002A06A3" w:rsidRPr="00176973" w:rsidRDefault="002A06A3" w:rsidP="0076180C">
      <w:pPr>
        <w:autoSpaceDE w:val="0"/>
        <w:autoSpaceDN w:val="0"/>
        <w:adjustRightInd w:val="0"/>
        <w:spacing w:after="0" w:line="240" w:lineRule="auto"/>
        <w:ind w:left="567"/>
        <w:jc w:val="both"/>
        <w:rPr>
          <w:rFonts w:ascii="Segoe UI" w:hAnsi="Segoe UI" w:cs="Segoe UI"/>
          <w:color w:val="FF0000"/>
        </w:rPr>
      </w:pPr>
    </w:p>
    <w:p w:rsidR="007C2232" w:rsidRPr="00176973" w:rsidRDefault="007C2232" w:rsidP="00817798">
      <w:pPr>
        <w:pStyle w:val="Heading1"/>
        <w:rPr>
          <w:rFonts w:ascii="Segoe UI" w:hAnsi="Segoe UI" w:cs="Segoe UI"/>
          <w:sz w:val="22"/>
          <w:szCs w:val="22"/>
        </w:rPr>
      </w:pPr>
      <w:r w:rsidRPr="00176973">
        <w:rPr>
          <w:rFonts w:ascii="Segoe UI" w:hAnsi="Segoe UI" w:cs="Segoe UI"/>
          <w:sz w:val="22"/>
          <w:szCs w:val="22"/>
        </w:rPr>
        <w:t>Background</w:t>
      </w:r>
    </w:p>
    <w:p w:rsidR="00C650FF" w:rsidRPr="00176973" w:rsidRDefault="007C2232" w:rsidP="00B14FC6">
      <w:pPr>
        <w:autoSpaceDE w:val="0"/>
        <w:autoSpaceDN w:val="0"/>
        <w:adjustRightInd w:val="0"/>
        <w:spacing w:after="0" w:line="240" w:lineRule="auto"/>
        <w:ind w:left="567"/>
        <w:jc w:val="both"/>
        <w:rPr>
          <w:rFonts w:ascii="Segoe UI" w:hAnsi="Segoe UI" w:cs="Segoe UI"/>
        </w:rPr>
      </w:pPr>
      <w:r w:rsidRPr="00176973">
        <w:rPr>
          <w:rFonts w:ascii="Segoe UI" w:hAnsi="Segoe UI" w:cs="Segoe UI"/>
        </w:rPr>
        <w:t>The Civil Contingencies Act 2004 outlines a single framework for civil</w:t>
      </w:r>
      <w:r w:rsidR="00C650FF" w:rsidRPr="00176973">
        <w:rPr>
          <w:rFonts w:ascii="Segoe UI" w:hAnsi="Segoe UI" w:cs="Segoe UI"/>
        </w:rPr>
        <w:t xml:space="preserve"> </w:t>
      </w:r>
      <w:r w:rsidRPr="00176973">
        <w:rPr>
          <w:rFonts w:ascii="Segoe UI" w:hAnsi="Segoe UI" w:cs="Segoe UI"/>
        </w:rPr>
        <w:t xml:space="preserve">protection in the United Kingdom. </w:t>
      </w:r>
      <w:r w:rsidR="00C650FF" w:rsidRPr="00176973">
        <w:rPr>
          <w:rFonts w:ascii="Segoe UI" w:hAnsi="Segoe UI" w:cs="Segoe UI"/>
        </w:rPr>
        <w:t xml:space="preserve"> </w:t>
      </w:r>
      <w:r w:rsidRPr="00176973">
        <w:rPr>
          <w:rFonts w:ascii="Segoe UI" w:hAnsi="Segoe UI" w:cs="Segoe UI"/>
        </w:rPr>
        <w:t>Part 1 of the Act establishes a clear</w:t>
      </w:r>
      <w:r w:rsidR="00C650FF" w:rsidRPr="00176973">
        <w:rPr>
          <w:rFonts w:ascii="Segoe UI" w:hAnsi="Segoe UI" w:cs="Segoe UI"/>
        </w:rPr>
        <w:t xml:space="preserve"> </w:t>
      </w:r>
      <w:r w:rsidRPr="00176973">
        <w:rPr>
          <w:rFonts w:ascii="Segoe UI" w:hAnsi="Segoe UI" w:cs="Segoe UI"/>
        </w:rPr>
        <w:t>set of roles and responsibilities for those involved in emergency</w:t>
      </w:r>
      <w:r w:rsidR="00C650FF" w:rsidRPr="00176973">
        <w:rPr>
          <w:rFonts w:ascii="Segoe UI" w:hAnsi="Segoe UI" w:cs="Segoe UI"/>
        </w:rPr>
        <w:t xml:space="preserve"> </w:t>
      </w:r>
      <w:r w:rsidR="00C043B4">
        <w:rPr>
          <w:rFonts w:ascii="Segoe UI" w:hAnsi="Segoe UI" w:cs="Segoe UI"/>
        </w:rPr>
        <w:t>preparedness</w:t>
      </w:r>
      <w:r w:rsidRPr="00176973">
        <w:rPr>
          <w:rFonts w:ascii="Segoe UI" w:hAnsi="Segoe UI" w:cs="Segoe UI"/>
        </w:rPr>
        <w:t xml:space="preserve"> and response at local level.</w:t>
      </w:r>
      <w:r w:rsidR="00B14FC6">
        <w:rPr>
          <w:rFonts w:ascii="Segoe UI" w:hAnsi="Segoe UI" w:cs="Segoe UI"/>
        </w:rPr>
        <w:t xml:space="preserve">  As a category one</w:t>
      </w:r>
      <w:r w:rsidR="00C650FF" w:rsidRPr="00176973">
        <w:rPr>
          <w:rFonts w:ascii="Segoe UI" w:hAnsi="Segoe UI" w:cs="Segoe UI"/>
        </w:rPr>
        <w:t xml:space="preserve"> responder</w:t>
      </w:r>
      <w:r w:rsidR="00B14FC6">
        <w:rPr>
          <w:rFonts w:ascii="Segoe UI" w:hAnsi="Segoe UI" w:cs="Segoe UI"/>
        </w:rPr>
        <w:t xml:space="preserve"> </w:t>
      </w:r>
      <w:r w:rsidR="0098590A" w:rsidRPr="00176973">
        <w:rPr>
          <w:rFonts w:ascii="Segoe UI" w:hAnsi="Segoe UI" w:cs="Segoe UI"/>
        </w:rPr>
        <w:t xml:space="preserve">the Trust </w:t>
      </w:r>
      <w:r w:rsidR="00C650FF" w:rsidRPr="00176973">
        <w:rPr>
          <w:rFonts w:ascii="Segoe UI" w:hAnsi="Segoe UI" w:cs="Segoe UI"/>
        </w:rPr>
        <w:t xml:space="preserve">is subject to the following civil protection duties: </w:t>
      </w:r>
    </w:p>
    <w:p w:rsidR="007C2232" w:rsidRPr="00176973" w:rsidRDefault="007C2232" w:rsidP="004A298A">
      <w:pPr>
        <w:autoSpaceDE w:val="0"/>
        <w:autoSpaceDN w:val="0"/>
        <w:adjustRightInd w:val="0"/>
        <w:spacing w:after="0" w:line="240" w:lineRule="auto"/>
        <w:jc w:val="both"/>
        <w:rPr>
          <w:rFonts w:ascii="Segoe UI" w:hAnsi="Segoe UI" w:cs="Segoe UI"/>
        </w:rPr>
      </w:pPr>
    </w:p>
    <w:p w:rsidR="00C650FF" w:rsidRPr="00176973" w:rsidRDefault="00C650FF" w:rsidP="004A298A">
      <w:pPr>
        <w:pStyle w:val="Default"/>
        <w:numPr>
          <w:ilvl w:val="0"/>
          <w:numId w:val="1"/>
        </w:numPr>
        <w:tabs>
          <w:tab w:val="clear" w:pos="900"/>
          <w:tab w:val="num" w:pos="1260"/>
        </w:tabs>
        <w:ind w:left="1260"/>
        <w:jc w:val="both"/>
        <w:rPr>
          <w:rFonts w:ascii="Segoe UI" w:hAnsi="Segoe UI" w:cs="Segoe UI"/>
          <w:color w:val="auto"/>
          <w:sz w:val="22"/>
          <w:szCs w:val="22"/>
        </w:rPr>
      </w:pPr>
      <w:r w:rsidRPr="00176973">
        <w:rPr>
          <w:rFonts w:ascii="Segoe UI" w:hAnsi="Segoe UI" w:cs="Segoe UI"/>
          <w:color w:val="auto"/>
          <w:sz w:val="22"/>
          <w:szCs w:val="22"/>
        </w:rPr>
        <w:t>assess the risk of emergencies occurring and use this to inform contingency planning</w:t>
      </w:r>
    </w:p>
    <w:p w:rsidR="00C650FF" w:rsidRPr="00176973" w:rsidRDefault="00C650FF" w:rsidP="004A298A">
      <w:pPr>
        <w:pStyle w:val="Default"/>
        <w:numPr>
          <w:ilvl w:val="0"/>
          <w:numId w:val="1"/>
        </w:numPr>
        <w:tabs>
          <w:tab w:val="clear" w:pos="900"/>
          <w:tab w:val="num" w:pos="1260"/>
        </w:tabs>
        <w:ind w:left="1260"/>
        <w:jc w:val="both"/>
        <w:rPr>
          <w:rFonts w:ascii="Segoe UI" w:hAnsi="Segoe UI" w:cs="Segoe UI"/>
          <w:color w:val="auto"/>
          <w:sz w:val="22"/>
          <w:szCs w:val="22"/>
        </w:rPr>
      </w:pPr>
      <w:r w:rsidRPr="00176973">
        <w:rPr>
          <w:rFonts w:ascii="Segoe UI" w:hAnsi="Segoe UI" w:cs="Segoe UI"/>
          <w:color w:val="auto"/>
          <w:sz w:val="22"/>
          <w:szCs w:val="22"/>
        </w:rPr>
        <w:t>put in place emergency plans</w:t>
      </w:r>
    </w:p>
    <w:p w:rsidR="00C650FF" w:rsidRPr="00176973" w:rsidRDefault="00C650FF" w:rsidP="004A298A">
      <w:pPr>
        <w:pStyle w:val="Default"/>
        <w:numPr>
          <w:ilvl w:val="0"/>
          <w:numId w:val="1"/>
        </w:numPr>
        <w:tabs>
          <w:tab w:val="clear" w:pos="900"/>
          <w:tab w:val="num" w:pos="1260"/>
        </w:tabs>
        <w:ind w:left="1260"/>
        <w:jc w:val="both"/>
        <w:rPr>
          <w:rFonts w:ascii="Segoe UI" w:hAnsi="Segoe UI" w:cs="Segoe UI"/>
          <w:color w:val="auto"/>
          <w:sz w:val="22"/>
          <w:szCs w:val="22"/>
        </w:rPr>
      </w:pPr>
      <w:r w:rsidRPr="00176973">
        <w:rPr>
          <w:rFonts w:ascii="Segoe UI" w:hAnsi="Segoe UI" w:cs="Segoe UI"/>
          <w:color w:val="auto"/>
          <w:sz w:val="22"/>
          <w:szCs w:val="22"/>
        </w:rPr>
        <w:t>put in place business continuity management arrangements</w:t>
      </w:r>
    </w:p>
    <w:p w:rsidR="00C650FF" w:rsidRPr="00176973" w:rsidRDefault="00C650FF" w:rsidP="004A298A">
      <w:pPr>
        <w:pStyle w:val="Default"/>
        <w:numPr>
          <w:ilvl w:val="0"/>
          <w:numId w:val="1"/>
        </w:numPr>
        <w:tabs>
          <w:tab w:val="clear" w:pos="900"/>
          <w:tab w:val="num" w:pos="1260"/>
        </w:tabs>
        <w:ind w:left="1260"/>
        <w:jc w:val="both"/>
        <w:rPr>
          <w:rFonts w:ascii="Segoe UI" w:hAnsi="Segoe UI" w:cs="Segoe UI"/>
          <w:color w:val="auto"/>
          <w:sz w:val="22"/>
          <w:szCs w:val="22"/>
        </w:rPr>
      </w:pPr>
      <w:r w:rsidRPr="00176973">
        <w:rPr>
          <w:rFonts w:ascii="Segoe UI" w:hAnsi="Segoe UI" w:cs="Segoe UI"/>
          <w:color w:val="auto"/>
          <w:sz w:val="22"/>
          <w:szCs w:val="22"/>
        </w:rPr>
        <w:t>put in place arrangements to make information available to the public about civil protection matters and maintain arrangements to warn, inform and advise the public in the event of an emergency</w:t>
      </w:r>
    </w:p>
    <w:p w:rsidR="00C650FF" w:rsidRPr="00176973" w:rsidRDefault="00C650FF" w:rsidP="004A298A">
      <w:pPr>
        <w:pStyle w:val="Default"/>
        <w:numPr>
          <w:ilvl w:val="0"/>
          <w:numId w:val="1"/>
        </w:numPr>
        <w:tabs>
          <w:tab w:val="clear" w:pos="900"/>
          <w:tab w:val="num" w:pos="1260"/>
        </w:tabs>
        <w:ind w:left="1260"/>
        <w:jc w:val="both"/>
        <w:rPr>
          <w:rFonts w:ascii="Segoe UI" w:hAnsi="Segoe UI" w:cs="Segoe UI"/>
          <w:color w:val="auto"/>
          <w:sz w:val="22"/>
          <w:szCs w:val="22"/>
        </w:rPr>
      </w:pPr>
      <w:r w:rsidRPr="00176973">
        <w:rPr>
          <w:rFonts w:ascii="Segoe UI" w:hAnsi="Segoe UI" w:cs="Segoe UI"/>
          <w:color w:val="auto"/>
          <w:sz w:val="22"/>
          <w:szCs w:val="22"/>
        </w:rPr>
        <w:t>share information with other</w:t>
      </w:r>
      <w:r w:rsidR="0004686A" w:rsidRPr="00176973">
        <w:rPr>
          <w:rFonts w:ascii="Segoe UI" w:hAnsi="Segoe UI" w:cs="Segoe UI"/>
          <w:color w:val="auto"/>
          <w:sz w:val="22"/>
          <w:szCs w:val="22"/>
        </w:rPr>
        <w:t xml:space="preserve"> local responders to enhance co</w:t>
      </w:r>
      <w:r w:rsidRPr="00176973">
        <w:rPr>
          <w:rFonts w:ascii="Segoe UI" w:hAnsi="Segoe UI" w:cs="Segoe UI"/>
          <w:color w:val="auto"/>
          <w:sz w:val="22"/>
          <w:szCs w:val="22"/>
        </w:rPr>
        <w:t>ordination</w:t>
      </w:r>
    </w:p>
    <w:p w:rsidR="00C650FF" w:rsidRPr="00176973" w:rsidRDefault="00C650FF" w:rsidP="004A298A">
      <w:pPr>
        <w:pStyle w:val="Default"/>
        <w:numPr>
          <w:ilvl w:val="0"/>
          <w:numId w:val="1"/>
        </w:numPr>
        <w:tabs>
          <w:tab w:val="clear" w:pos="900"/>
          <w:tab w:val="num" w:pos="1260"/>
        </w:tabs>
        <w:ind w:left="1260"/>
        <w:jc w:val="both"/>
        <w:rPr>
          <w:rFonts w:ascii="Segoe UI" w:hAnsi="Segoe UI" w:cs="Segoe UI"/>
          <w:color w:val="auto"/>
          <w:sz w:val="22"/>
          <w:szCs w:val="22"/>
        </w:rPr>
      </w:pPr>
      <w:r w:rsidRPr="00176973">
        <w:rPr>
          <w:rFonts w:ascii="Segoe UI" w:hAnsi="Segoe UI" w:cs="Segoe UI"/>
          <w:color w:val="auto"/>
          <w:sz w:val="22"/>
          <w:szCs w:val="22"/>
        </w:rPr>
        <w:t>cooperate with other</w:t>
      </w:r>
      <w:r w:rsidR="0004686A" w:rsidRPr="00176973">
        <w:rPr>
          <w:rFonts w:ascii="Segoe UI" w:hAnsi="Segoe UI" w:cs="Segoe UI"/>
          <w:color w:val="auto"/>
          <w:sz w:val="22"/>
          <w:szCs w:val="22"/>
        </w:rPr>
        <w:t xml:space="preserve"> local responders to enhance co</w:t>
      </w:r>
      <w:r w:rsidRPr="00176973">
        <w:rPr>
          <w:rFonts w:ascii="Segoe UI" w:hAnsi="Segoe UI" w:cs="Segoe UI"/>
          <w:color w:val="auto"/>
          <w:sz w:val="22"/>
          <w:szCs w:val="22"/>
        </w:rPr>
        <w:t>ordination and efficiency.</w:t>
      </w:r>
    </w:p>
    <w:p w:rsidR="00436428" w:rsidRPr="00176973" w:rsidRDefault="00436428" w:rsidP="004A298A">
      <w:pPr>
        <w:pStyle w:val="Default"/>
        <w:ind w:left="540"/>
        <w:jc w:val="both"/>
        <w:rPr>
          <w:rFonts w:ascii="Segoe UI" w:hAnsi="Segoe UI" w:cs="Segoe UI"/>
          <w:b/>
          <w:bCs/>
          <w:color w:val="FF0000"/>
          <w:sz w:val="22"/>
          <w:szCs w:val="22"/>
        </w:rPr>
      </w:pPr>
    </w:p>
    <w:p w:rsidR="00F3519C" w:rsidRDefault="00436428" w:rsidP="00A84918">
      <w:pPr>
        <w:pStyle w:val="Default"/>
        <w:ind w:left="540"/>
        <w:jc w:val="both"/>
        <w:rPr>
          <w:rFonts w:ascii="Segoe UI" w:hAnsi="Segoe UI" w:cs="Segoe UI"/>
          <w:color w:val="auto"/>
          <w:sz w:val="22"/>
          <w:szCs w:val="22"/>
        </w:rPr>
      </w:pPr>
      <w:r w:rsidRPr="00176973">
        <w:rPr>
          <w:rFonts w:ascii="Segoe UI" w:hAnsi="Segoe UI" w:cs="Segoe UI"/>
          <w:b/>
          <w:bCs/>
          <w:color w:val="auto"/>
          <w:sz w:val="22"/>
          <w:szCs w:val="22"/>
        </w:rPr>
        <w:t xml:space="preserve">Risk </w:t>
      </w:r>
      <w:r w:rsidR="005B41AF">
        <w:rPr>
          <w:rFonts w:ascii="Segoe UI" w:hAnsi="Segoe UI" w:cs="Segoe UI"/>
          <w:b/>
          <w:bCs/>
          <w:color w:val="auto"/>
          <w:sz w:val="22"/>
          <w:szCs w:val="22"/>
        </w:rPr>
        <w:t>a</w:t>
      </w:r>
      <w:r w:rsidRPr="00176973">
        <w:rPr>
          <w:rFonts w:ascii="Segoe UI" w:hAnsi="Segoe UI" w:cs="Segoe UI"/>
          <w:b/>
          <w:bCs/>
          <w:color w:val="auto"/>
          <w:sz w:val="22"/>
          <w:szCs w:val="22"/>
        </w:rPr>
        <w:t>ssessment</w:t>
      </w:r>
      <w:r w:rsidRPr="00176973">
        <w:rPr>
          <w:rFonts w:ascii="Segoe UI" w:hAnsi="Segoe UI" w:cs="Segoe UI"/>
          <w:color w:val="auto"/>
          <w:sz w:val="22"/>
          <w:szCs w:val="22"/>
        </w:rPr>
        <w:t xml:space="preserve"> The Civil Contingencies Act 2004</w:t>
      </w:r>
      <w:r w:rsidR="0004686A" w:rsidRPr="00176973">
        <w:rPr>
          <w:rFonts w:ascii="Segoe UI" w:hAnsi="Segoe UI" w:cs="Segoe UI"/>
          <w:color w:val="auto"/>
          <w:sz w:val="22"/>
          <w:szCs w:val="22"/>
        </w:rPr>
        <w:t xml:space="preserve"> </w:t>
      </w:r>
      <w:r w:rsidRPr="00176973">
        <w:rPr>
          <w:rFonts w:ascii="Segoe UI" w:hAnsi="Segoe UI" w:cs="Segoe UI"/>
          <w:color w:val="auto"/>
          <w:sz w:val="22"/>
          <w:szCs w:val="22"/>
        </w:rPr>
        <w:t xml:space="preserve">places a legal duty on responders to undertake risk assessments and publish risks in a </w:t>
      </w:r>
      <w:r w:rsidR="005F19A0">
        <w:rPr>
          <w:rFonts w:ascii="Segoe UI" w:hAnsi="Segoe UI" w:cs="Segoe UI"/>
          <w:color w:val="auto"/>
          <w:sz w:val="22"/>
          <w:szCs w:val="22"/>
        </w:rPr>
        <w:t>c</w:t>
      </w:r>
      <w:r w:rsidRPr="00176973">
        <w:rPr>
          <w:rFonts w:ascii="Segoe UI" w:hAnsi="Segoe UI" w:cs="Segoe UI"/>
          <w:color w:val="auto"/>
          <w:sz w:val="22"/>
          <w:szCs w:val="22"/>
        </w:rPr>
        <w:t xml:space="preserve">ommunity </w:t>
      </w:r>
      <w:r w:rsidR="005F19A0">
        <w:rPr>
          <w:rFonts w:ascii="Segoe UI" w:hAnsi="Segoe UI" w:cs="Segoe UI"/>
          <w:color w:val="auto"/>
          <w:sz w:val="22"/>
          <w:szCs w:val="22"/>
        </w:rPr>
        <w:t>r</w:t>
      </w:r>
      <w:r w:rsidRPr="00176973">
        <w:rPr>
          <w:rFonts w:ascii="Segoe UI" w:hAnsi="Segoe UI" w:cs="Segoe UI"/>
          <w:color w:val="auto"/>
          <w:sz w:val="22"/>
          <w:szCs w:val="22"/>
        </w:rPr>
        <w:t xml:space="preserve">isk </w:t>
      </w:r>
      <w:r w:rsidR="005F19A0">
        <w:rPr>
          <w:rFonts w:ascii="Segoe UI" w:hAnsi="Segoe UI" w:cs="Segoe UI"/>
          <w:color w:val="auto"/>
          <w:sz w:val="22"/>
          <w:szCs w:val="22"/>
        </w:rPr>
        <w:t>register.  The purpose of the c</w:t>
      </w:r>
      <w:r w:rsidRPr="00176973">
        <w:rPr>
          <w:rFonts w:ascii="Segoe UI" w:hAnsi="Segoe UI" w:cs="Segoe UI"/>
          <w:color w:val="auto"/>
          <w:sz w:val="22"/>
          <w:szCs w:val="22"/>
        </w:rPr>
        <w:t xml:space="preserve">ommunity </w:t>
      </w:r>
      <w:r w:rsidR="005F19A0">
        <w:rPr>
          <w:rFonts w:ascii="Segoe UI" w:hAnsi="Segoe UI" w:cs="Segoe UI"/>
          <w:color w:val="auto"/>
          <w:sz w:val="22"/>
          <w:szCs w:val="22"/>
        </w:rPr>
        <w:t>r</w:t>
      </w:r>
      <w:r w:rsidRPr="00176973">
        <w:rPr>
          <w:rFonts w:ascii="Segoe UI" w:hAnsi="Segoe UI" w:cs="Segoe UI"/>
          <w:color w:val="auto"/>
          <w:sz w:val="22"/>
          <w:szCs w:val="22"/>
        </w:rPr>
        <w:t xml:space="preserve">isk </w:t>
      </w:r>
      <w:r w:rsidR="005F19A0">
        <w:rPr>
          <w:rFonts w:ascii="Segoe UI" w:hAnsi="Segoe UI" w:cs="Segoe UI"/>
          <w:color w:val="auto"/>
          <w:sz w:val="22"/>
          <w:szCs w:val="22"/>
        </w:rPr>
        <w:t>r</w:t>
      </w:r>
      <w:r w:rsidRPr="00176973">
        <w:rPr>
          <w:rFonts w:ascii="Segoe UI" w:hAnsi="Segoe UI" w:cs="Segoe UI"/>
          <w:color w:val="auto"/>
          <w:sz w:val="22"/>
          <w:szCs w:val="22"/>
        </w:rPr>
        <w:t>egiste</w:t>
      </w:r>
      <w:r w:rsidR="0004686A" w:rsidRPr="00176973">
        <w:rPr>
          <w:rFonts w:ascii="Segoe UI" w:hAnsi="Segoe UI" w:cs="Segoe UI"/>
          <w:color w:val="auto"/>
          <w:sz w:val="22"/>
          <w:szCs w:val="22"/>
        </w:rPr>
        <w:t>r is to reassure the community</w:t>
      </w:r>
      <w:r w:rsidRPr="00176973">
        <w:rPr>
          <w:rFonts w:ascii="Segoe UI" w:hAnsi="Segoe UI" w:cs="Segoe UI"/>
          <w:color w:val="auto"/>
          <w:sz w:val="22"/>
          <w:szCs w:val="22"/>
        </w:rPr>
        <w:t xml:space="preserve"> that the risk of pot</w:t>
      </w:r>
      <w:r w:rsidR="00CC096C">
        <w:rPr>
          <w:rFonts w:ascii="Segoe UI" w:hAnsi="Segoe UI" w:cs="Segoe UI"/>
          <w:color w:val="auto"/>
          <w:sz w:val="22"/>
          <w:szCs w:val="22"/>
        </w:rPr>
        <w:t>ential hazards has been assessed</w:t>
      </w:r>
      <w:r w:rsidRPr="00176973">
        <w:rPr>
          <w:rFonts w:ascii="Segoe UI" w:hAnsi="Segoe UI" w:cs="Segoe UI"/>
          <w:color w:val="auto"/>
          <w:sz w:val="22"/>
          <w:szCs w:val="22"/>
        </w:rPr>
        <w:t>, and that preparation arrangements are undertaken and response plans exist.</w:t>
      </w:r>
      <w:r w:rsidR="00CC096C">
        <w:rPr>
          <w:rFonts w:ascii="Segoe UI" w:hAnsi="Segoe UI" w:cs="Segoe UI"/>
          <w:color w:val="auto"/>
          <w:sz w:val="22"/>
          <w:szCs w:val="22"/>
        </w:rPr>
        <w:t xml:space="preserve">  Oxford Health NHS Foundation Trust reviews these risks in order to inform the preparation of major incident plans and business continuity arrangements.</w:t>
      </w:r>
    </w:p>
    <w:p w:rsidR="00A84918" w:rsidRDefault="00A84918" w:rsidP="00A84918">
      <w:pPr>
        <w:pStyle w:val="Default"/>
        <w:ind w:left="540"/>
        <w:jc w:val="both"/>
        <w:rPr>
          <w:rFonts w:ascii="Segoe UI" w:hAnsi="Segoe UI" w:cs="Segoe UI"/>
          <w:color w:val="auto"/>
          <w:sz w:val="22"/>
          <w:szCs w:val="22"/>
        </w:rPr>
      </w:pPr>
    </w:p>
    <w:p w:rsidR="00436428" w:rsidRPr="00176973" w:rsidRDefault="00A643F7" w:rsidP="004A298A">
      <w:pPr>
        <w:pStyle w:val="Default"/>
        <w:ind w:left="540"/>
        <w:jc w:val="both"/>
        <w:rPr>
          <w:rFonts w:ascii="Segoe UI" w:hAnsi="Segoe UI" w:cs="Segoe UI"/>
          <w:color w:val="auto"/>
          <w:sz w:val="22"/>
          <w:szCs w:val="22"/>
        </w:rPr>
      </w:pPr>
      <w:r>
        <w:rPr>
          <w:rFonts w:ascii="Segoe UI" w:hAnsi="Segoe UI" w:cs="Segoe UI"/>
          <w:color w:val="auto"/>
          <w:sz w:val="22"/>
          <w:szCs w:val="22"/>
        </w:rPr>
        <w:t xml:space="preserve">The </w:t>
      </w:r>
      <w:r w:rsidR="00EA027C">
        <w:rPr>
          <w:rFonts w:ascii="Segoe UI" w:hAnsi="Segoe UI" w:cs="Segoe UI"/>
          <w:color w:val="auto"/>
          <w:sz w:val="22"/>
          <w:szCs w:val="22"/>
        </w:rPr>
        <w:t xml:space="preserve">top five risks </w:t>
      </w:r>
      <w:r w:rsidR="00436428" w:rsidRPr="00176973">
        <w:rPr>
          <w:rFonts w:ascii="Segoe UI" w:hAnsi="Segoe UI" w:cs="Segoe UI"/>
          <w:color w:val="auto"/>
          <w:sz w:val="22"/>
          <w:szCs w:val="22"/>
        </w:rPr>
        <w:t xml:space="preserve">currently identified on the Thames Valley </w:t>
      </w:r>
      <w:r w:rsidR="002D2D29" w:rsidRPr="00176973">
        <w:rPr>
          <w:rFonts w:ascii="Segoe UI" w:hAnsi="Segoe UI" w:cs="Segoe UI"/>
          <w:color w:val="auto"/>
          <w:sz w:val="22"/>
          <w:szCs w:val="22"/>
        </w:rPr>
        <w:t xml:space="preserve">Community </w:t>
      </w:r>
      <w:r w:rsidR="00436428" w:rsidRPr="00176973">
        <w:rPr>
          <w:rFonts w:ascii="Segoe UI" w:hAnsi="Segoe UI" w:cs="Segoe UI"/>
          <w:color w:val="auto"/>
          <w:sz w:val="22"/>
          <w:szCs w:val="22"/>
        </w:rPr>
        <w:t xml:space="preserve">Risk Register </w:t>
      </w:r>
      <w:r w:rsidR="00EA027C">
        <w:rPr>
          <w:rFonts w:ascii="Segoe UI" w:hAnsi="Segoe UI" w:cs="Segoe UI"/>
          <w:color w:val="auto"/>
          <w:sz w:val="22"/>
          <w:szCs w:val="22"/>
        </w:rPr>
        <w:t>are</w:t>
      </w:r>
      <w:r w:rsidR="00436428" w:rsidRPr="00176973">
        <w:rPr>
          <w:rFonts w:ascii="Segoe UI" w:hAnsi="Segoe UI" w:cs="Segoe UI"/>
          <w:color w:val="auto"/>
          <w:sz w:val="22"/>
          <w:szCs w:val="22"/>
        </w:rPr>
        <w:t xml:space="preserve">: </w:t>
      </w:r>
    </w:p>
    <w:p w:rsidR="00EA027C" w:rsidRPr="00EA027C" w:rsidRDefault="00EA027C" w:rsidP="00EA027C">
      <w:pPr>
        <w:pStyle w:val="Default"/>
        <w:numPr>
          <w:ilvl w:val="0"/>
          <w:numId w:val="2"/>
        </w:numPr>
        <w:jc w:val="both"/>
        <w:rPr>
          <w:rFonts w:ascii="Segoe UI" w:hAnsi="Segoe UI" w:cs="Segoe UI"/>
          <w:color w:val="auto"/>
          <w:sz w:val="22"/>
          <w:szCs w:val="22"/>
          <w:u w:val="single"/>
        </w:rPr>
      </w:pPr>
      <w:r w:rsidRPr="00EA027C">
        <w:rPr>
          <w:rFonts w:ascii="Segoe UI" w:hAnsi="Segoe UI" w:cs="Segoe UI"/>
          <w:color w:val="auto"/>
          <w:sz w:val="22"/>
          <w:szCs w:val="22"/>
        </w:rPr>
        <w:t>influenza type disease (pandemic)</w:t>
      </w:r>
    </w:p>
    <w:p w:rsidR="00EA027C" w:rsidRPr="00EA027C" w:rsidRDefault="00EA027C" w:rsidP="00EA027C">
      <w:pPr>
        <w:pStyle w:val="Default"/>
        <w:numPr>
          <w:ilvl w:val="0"/>
          <w:numId w:val="2"/>
        </w:numPr>
        <w:jc w:val="both"/>
        <w:rPr>
          <w:rFonts w:ascii="Segoe UI" w:hAnsi="Segoe UI" w:cs="Segoe UI"/>
          <w:color w:val="auto"/>
          <w:sz w:val="22"/>
          <w:szCs w:val="22"/>
          <w:u w:val="single"/>
        </w:rPr>
      </w:pPr>
      <w:r w:rsidRPr="00EA027C">
        <w:rPr>
          <w:rFonts w:ascii="Segoe UI" w:hAnsi="Segoe UI" w:cs="Segoe UI"/>
          <w:color w:val="auto"/>
          <w:sz w:val="22"/>
          <w:szCs w:val="22"/>
        </w:rPr>
        <w:t>storms and gales</w:t>
      </w:r>
    </w:p>
    <w:p w:rsidR="00EA027C" w:rsidRPr="00EA027C" w:rsidRDefault="00EA027C" w:rsidP="00EA027C">
      <w:pPr>
        <w:pStyle w:val="Default"/>
        <w:numPr>
          <w:ilvl w:val="0"/>
          <w:numId w:val="2"/>
        </w:numPr>
        <w:jc w:val="both"/>
        <w:rPr>
          <w:rFonts w:ascii="Segoe UI" w:hAnsi="Segoe UI" w:cs="Segoe UI"/>
          <w:color w:val="auto"/>
          <w:sz w:val="22"/>
          <w:szCs w:val="22"/>
          <w:u w:val="single"/>
        </w:rPr>
      </w:pPr>
      <w:r w:rsidRPr="00EA027C">
        <w:rPr>
          <w:rFonts w:ascii="Segoe UI" w:hAnsi="Segoe UI" w:cs="Segoe UI"/>
          <w:color w:val="auto"/>
          <w:sz w:val="22"/>
          <w:szCs w:val="22"/>
        </w:rPr>
        <w:t>flooding</w:t>
      </w:r>
    </w:p>
    <w:p w:rsidR="00EA027C" w:rsidRPr="00EA027C" w:rsidRDefault="00EA027C" w:rsidP="00EA027C">
      <w:pPr>
        <w:pStyle w:val="Default"/>
        <w:numPr>
          <w:ilvl w:val="0"/>
          <w:numId w:val="2"/>
        </w:numPr>
        <w:jc w:val="both"/>
        <w:rPr>
          <w:rFonts w:ascii="Segoe UI" w:hAnsi="Segoe UI" w:cs="Segoe UI"/>
          <w:color w:val="auto"/>
          <w:sz w:val="22"/>
          <w:szCs w:val="22"/>
          <w:u w:val="single"/>
        </w:rPr>
      </w:pPr>
      <w:r w:rsidRPr="00EA027C">
        <w:rPr>
          <w:rFonts w:ascii="Segoe UI" w:hAnsi="Segoe UI" w:cs="Segoe UI"/>
          <w:color w:val="auto"/>
          <w:sz w:val="22"/>
          <w:szCs w:val="22"/>
        </w:rPr>
        <w:t>fuel shortage</w:t>
      </w:r>
    </w:p>
    <w:p w:rsidR="00EA027C" w:rsidRPr="00EA027C" w:rsidRDefault="00EA027C" w:rsidP="00EA027C">
      <w:pPr>
        <w:pStyle w:val="Default"/>
        <w:numPr>
          <w:ilvl w:val="0"/>
          <w:numId w:val="2"/>
        </w:numPr>
        <w:jc w:val="both"/>
        <w:rPr>
          <w:rFonts w:ascii="Segoe UI" w:hAnsi="Segoe UI" w:cs="Segoe UI"/>
          <w:color w:val="auto"/>
          <w:sz w:val="22"/>
          <w:szCs w:val="22"/>
          <w:u w:val="single"/>
        </w:rPr>
      </w:pPr>
      <w:r>
        <w:rPr>
          <w:rFonts w:ascii="Segoe UI" w:hAnsi="Segoe UI" w:cs="Segoe UI"/>
          <w:color w:val="auto"/>
          <w:sz w:val="22"/>
          <w:szCs w:val="22"/>
        </w:rPr>
        <w:t xml:space="preserve">widespread loss of telecommunications </w:t>
      </w:r>
    </w:p>
    <w:p w:rsidR="00436428" w:rsidRPr="00176973" w:rsidRDefault="00436428" w:rsidP="004A298A">
      <w:pPr>
        <w:pStyle w:val="Default"/>
        <w:ind w:left="540"/>
        <w:jc w:val="both"/>
        <w:rPr>
          <w:rFonts w:ascii="Segoe UI" w:hAnsi="Segoe UI" w:cs="Segoe UI"/>
          <w:color w:val="auto"/>
          <w:sz w:val="22"/>
          <w:szCs w:val="22"/>
        </w:rPr>
      </w:pPr>
    </w:p>
    <w:p w:rsidR="007C2232" w:rsidRPr="00176973" w:rsidRDefault="007C2232" w:rsidP="00817798">
      <w:pPr>
        <w:pStyle w:val="Heading2"/>
        <w:rPr>
          <w:rFonts w:ascii="Segoe UI" w:hAnsi="Segoe UI" w:cs="Segoe UI"/>
          <w:sz w:val="22"/>
          <w:szCs w:val="22"/>
        </w:rPr>
      </w:pPr>
      <w:r w:rsidRPr="00176973">
        <w:rPr>
          <w:rFonts w:ascii="Segoe UI" w:hAnsi="Segoe UI" w:cs="Segoe UI"/>
          <w:sz w:val="22"/>
          <w:szCs w:val="22"/>
        </w:rPr>
        <w:lastRenderedPageBreak/>
        <w:t xml:space="preserve">Definition of a </w:t>
      </w:r>
      <w:r w:rsidR="005B41AF">
        <w:rPr>
          <w:rFonts w:ascii="Segoe UI" w:hAnsi="Segoe UI" w:cs="Segoe UI"/>
          <w:sz w:val="22"/>
          <w:szCs w:val="22"/>
        </w:rPr>
        <w:t>m</w:t>
      </w:r>
      <w:r w:rsidRPr="00176973">
        <w:rPr>
          <w:rFonts w:ascii="Segoe UI" w:hAnsi="Segoe UI" w:cs="Segoe UI"/>
          <w:sz w:val="22"/>
          <w:szCs w:val="22"/>
        </w:rPr>
        <w:t>ajor</w:t>
      </w:r>
      <w:r w:rsidR="005B41AF">
        <w:rPr>
          <w:rFonts w:ascii="Segoe UI" w:hAnsi="Segoe UI" w:cs="Segoe UI"/>
          <w:sz w:val="22"/>
          <w:szCs w:val="22"/>
        </w:rPr>
        <w:t xml:space="preserve"> i</w:t>
      </w:r>
      <w:r w:rsidRPr="00176973">
        <w:rPr>
          <w:rFonts w:ascii="Segoe UI" w:hAnsi="Segoe UI" w:cs="Segoe UI"/>
          <w:sz w:val="22"/>
          <w:szCs w:val="22"/>
        </w:rPr>
        <w:t>ncident</w:t>
      </w:r>
    </w:p>
    <w:p w:rsidR="007A60D4" w:rsidRPr="00176973" w:rsidRDefault="007C2232" w:rsidP="0076180C">
      <w:pPr>
        <w:tabs>
          <w:tab w:val="left" w:pos="567"/>
        </w:tabs>
        <w:autoSpaceDE w:val="0"/>
        <w:autoSpaceDN w:val="0"/>
        <w:adjustRightInd w:val="0"/>
        <w:spacing w:after="0" w:line="240" w:lineRule="auto"/>
        <w:ind w:left="567"/>
        <w:jc w:val="both"/>
        <w:rPr>
          <w:rFonts w:ascii="Segoe UI" w:hAnsi="Segoe UI" w:cs="Segoe UI"/>
        </w:rPr>
      </w:pPr>
      <w:r w:rsidRPr="00176973">
        <w:rPr>
          <w:rFonts w:ascii="Segoe UI" w:hAnsi="Segoe UI" w:cs="Segoe UI"/>
        </w:rPr>
        <w:t xml:space="preserve">For the NHS, a major incident is defined as </w:t>
      </w:r>
      <w:r w:rsidR="007A60D4" w:rsidRPr="00176973">
        <w:rPr>
          <w:rFonts w:ascii="Segoe UI" w:hAnsi="Segoe UI" w:cs="Segoe UI"/>
        </w:rPr>
        <w:t>any event that cannot be managed within routine service arrangements and requires the implementation of special procedures which may involve one or more of the emergency services, the wider NHS or a local authority (NHS England Emergenc</w:t>
      </w:r>
      <w:r w:rsidR="00022188">
        <w:rPr>
          <w:rFonts w:ascii="Segoe UI" w:hAnsi="Segoe UI" w:cs="Segoe UI"/>
        </w:rPr>
        <w:t>y Preparedness Framework, 2013)</w:t>
      </w:r>
      <w:r w:rsidR="0094404F">
        <w:rPr>
          <w:rFonts w:ascii="Segoe UI" w:hAnsi="Segoe UI" w:cs="Segoe UI"/>
        </w:rPr>
        <w:t>.</w:t>
      </w:r>
    </w:p>
    <w:p w:rsidR="00EF481F" w:rsidRPr="00176973" w:rsidRDefault="00EF481F" w:rsidP="00EF481F">
      <w:pPr>
        <w:autoSpaceDE w:val="0"/>
        <w:autoSpaceDN w:val="0"/>
        <w:adjustRightInd w:val="0"/>
        <w:spacing w:after="0" w:line="240" w:lineRule="auto"/>
        <w:ind w:left="720"/>
        <w:jc w:val="both"/>
        <w:rPr>
          <w:rFonts w:ascii="Segoe UI" w:hAnsi="Segoe UI" w:cs="Segoe UI"/>
          <w:color w:val="FF0000"/>
        </w:rPr>
      </w:pPr>
    </w:p>
    <w:p w:rsidR="007C2232" w:rsidRPr="00176973" w:rsidRDefault="00DC5D55" w:rsidP="003651B6">
      <w:pPr>
        <w:pStyle w:val="Heading1"/>
        <w:rPr>
          <w:rFonts w:ascii="Segoe UI" w:hAnsi="Segoe UI" w:cs="Segoe UI"/>
          <w:sz w:val="22"/>
          <w:szCs w:val="22"/>
        </w:rPr>
      </w:pPr>
      <w:r w:rsidRPr="00176973">
        <w:rPr>
          <w:rFonts w:ascii="Segoe UI" w:hAnsi="Segoe UI" w:cs="Segoe UI"/>
          <w:sz w:val="22"/>
          <w:szCs w:val="22"/>
        </w:rPr>
        <w:t xml:space="preserve">Major </w:t>
      </w:r>
      <w:r w:rsidR="005B41AF">
        <w:rPr>
          <w:rFonts w:ascii="Segoe UI" w:hAnsi="Segoe UI" w:cs="Segoe UI"/>
          <w:sz w:val="22"/>
          <w:szCs w:val="22"/>
        </w:rPr>
        <w:t>i</w:t>
      </w:r>
      <w:r w:rsidRPr="00176973">
        <w:rPr>
          <w:rFonts w:ascii="Segoe UI" w:hAnsi="Segoe UI" w:cs="Segoe UI"/>
          <w:sz w:val="22"/>
          <w:szCs w:val="22"/>
        </w:rPr>
        <w:t xml:space="preserve">ncident and </w:t>
      </w:r>
      <w:r w:rsidR="005B41AF">
        <w:rPr>
          <w:rFonts w:ascii="Segoe UI" w:hAnsi="Segoe UI" w:cs="Segoe UI"/>
          <w:sz w:val="22"/>
          <w:szCs w:val="22"/>
        </w:rPr>
        <w:t>b</w:t>
      </w:r>
      <w:r w:rsidRPr="00176973">
        <w:rPr>
          <w:rFonts w:ascii="Segoe UI" w:hAnsi="Segoe UI" w:cs="Segoe UI"/>
          <w:sz w:val="22"/>
          <w:szCs w:val="22"/>
        </w:rPr>
        <w:t xml:space="preserve">usiness </w:t>
      </w:r>
      <w:r w:rsidR="005B41AF">
        <w:rPr>
          <w:rFonts w:ascii="Segoe UI" w:hAnsi="Segoe UI" w:cs="Segoe UI"/>
          <w:sz w:val="22"/>
          <w:szCs w:val="22"/>
        </w:rPr>
        <w:t>continuity p</w:t>
      </w:r>
      <w:r w:rsidRPr="00176973">
        <w:rPr>
          <w:rFonts w:ascii="Segoe UI" w:hAnsi="Segoe UI" w:cs="Segoe UI"/>
          <w:sz w:val="22"/>
          <w:szCs w:val="22"/>
        </w:rPr>
        <w:t>lans</w:t>
      </w:r>
    </w:p>
    <w:p w:rsidR="00EF481F" w:rsidRPr="00176973" w:rsidRDefault="00EF481F" w:rsidP="004A298A">
      <w:pPr>
        <w:autoSpaceDE w:val="0"/>
        <w:autoSpaceDN w:val="0"/>
        <w:adjustRightInd w:val="0"/>
        <w:spacing w:after="0" w:line="240" w:lineRule="auto"/>
        <w:jc w:val="both"/>
        <w:rPr>
          <w:rFonts w:ascii="Segoe UI" w:hAnsi="Segoe UI" w:cs="Segoe UI"/>
          <w:b/>
          <w:bCs/>
        </w:rPr>
      </w:pPr>
    </w:p>
    <w:p w:rsidR="007C2232" w:rsidRPr="00411E38" w:rsidRDefault="007C2232" w:rsidP="003651B6">
      <w:pPr>
        <w:pStyle w:val="Heading2"/>
        <w:rPr>
          <w:rFonts w:ascii="Segoe UI" w:hAnsi="Segoe UI" w:cs="Segoe UI"/>
          <w:sz w:val="22"/>
          <w:szCs w:val="22"/>
        </w:rPr>
      </w:pPr>
      <w:r w:rsidRPr="00411E38">
        <w:rPr>
          <w:rFonts w:ascii="Segoe UI" w:hAnsi="Segoe UI" w:cs="Segoe UI"/>
          <w:sz w:val="22"/>
          <w:szCs w:val="22"/>
        </w:rPr>
        <w:t xml:space="preserve">Major </w:t>
      </w:r>
      <w:r w:rsidR="005B41AF" w:rsidRPr="00411E38">
        <w:rPr>
          <w:rFonts w:ascii="Segoe UI" w:hAnsi="Segoe UI" w:cs="Segoe UI"/>
          <w:sz w:val="22"/>
          <w:szCs w:val="22"/>
        </w:rPr>
        <w:t>i</w:t>
      </w:r>
      <w:r w:rsidRPr="00411E38">
        <w:rPr>
          <w:rFonts w:ascii="Segoe UI" w:hAnsi="Segoe UI" w:cs="Segoe UI"/>
          <w:sz w:val="22"/>
          <w:szCs w:val="22"/>
        </w:rPr>
        <w:t xml:space="preserve">ncident </w:t>
      </w:r>
      <w:r w:rsidR="005B41AF" w:rsidRPr="00411E38">
        <w:rPr>
          <w:rFonts w:ascii="Segoe UI" w:hAnsi="Segoe UI" w:cs="Segoe UI"/>
          <w:sz w:val="22"/>
          <w:szCs w:val="22"/>
        </w:rPr>
        <w:t>p</w:t>
      </w:r>
      <w:r w:rsidRPr="00411E38">
        <w:rPr>
          <w:rFonts w:ascii="Segoe UI" w:hAnsi="Segoe UI" w:cs="Segoe UI"/>
          <w:sz w:val="22"/>
          <w:szCs w:val="22"/>
        </w:rPr>
        <w:t>lan</w:t>
      </w:r>
    </w:p>
    <w:p w:rsidR="008113EA" w:rsidRPr="00411E38" w:rsidRDefault="007C2232" w:rsidP="001E771E">
      <w:pPr>
        <w:autoSpaceDE w:val="0"/>
        <w:autoSpaceDN w:val="0"/>
        <w:adjustRightInd w:val="0"/>
        <w:spacing w:after="0" w:line="240" w:lineRule="auto"/>
        <w:ind w:left="567"/>
        <w:jc w:val="both"/>
        <w:rPr>
          <w:rFonts w:ascii="Segoe UI" w:hAnsi="Segoe UI" w:cs="Segoe UI"/>
        </w:rPr>
      </w:pPr>
      <w:r w:rsidRPr="00411E38">
        <w:rPr>
          <w:rFonts w:ascii="Segoe UI" w:hAnsi="Segoe UI" w:cs="Segoe UI"/>
        </w:rPr>
        <w:t xml:space="preserve">The </w:t>
      </w:r>
      <w:r w:rsidR="005B41AF" w:rsidRPr="00411E38">
        <w:rPr>
          <w:rFonts w:ascii="Segoe UI" w:hAnsi="Segoe UI" w:cs="Segoe UI"/>
        </w:rPr>
        <w:t>major Incident p</w:t>
      </w:r>
      <w:r w:rsidRPr="00411E38">
        <w:rPr>
          <w:rFonts w:ascii="Segoe UI" w:hAnsi="Segoe UI" w:cs="Segoe UI"/>
        </w:rPr>
        <w:t xml:space="preserve">lan is reviewed annually </w:t>
      </w:r>
      <w:r w:rsidR="001E771E" w:rsidRPr="00411E38">
        <w:rPr>
          <w:rFonts w:ascii="Segoe UI" w:hAnsi="Segoe UI" w:cs="Segoe UI"/>
        </w:rPr>
        <w:t>to ensure that it continues to accurately reflect the role of the Trust in a major incident, and how this role fits with those of other NHS organisations and the emergency services.</w:t>
      </w:r>
      <w:r w:rsidR="001E771E" w:rsidRPr="00411E38">
        <w:rPr>
          <w:rFonts w:ascii="Arial" w:hAnsi="Arial" w:cs="Arial"/>
          <w:sz w:val="24"/>
          <w:szCs w:val="24"/>
        </w:rPr>
        <w:t xml:space="preserve">  </w:t>
      </w:r>
      <w:r w:rsidRPr="00411E38">
        <w:rPr>
          <w:rFonts w:ascii="Segoe UI" w:hAnsi="Segoe UI" w:cs="Segoe UI"/>
        </w:rPr>
        <w:t xml:space="preserve">The </w:t>
      </w:r>
      <w:r w:rsidR="00A84918" w:rsidRPr="00411E38">
        <w:rPr>
          <w:rFonts w:ascii="Segoe UI" w:hAnsi="Segoe UI" w:cs="Segoe UI"/>
        </w:rPr>
        <w:t>major i</w:t>
      </w:r>
      <w:r w:rsidRPr="00411E38">
        <w:rPr>
          <w:rFonts w:ascii="Segoe UI" w:hAnsi="Segoe UI" w:cs="Segoe UI"/>
        </w:rPr>
        <w:t xml:space="preserve">ncident </w:t>
      </w:r>
      <w:r w:rsidR="00A84918" w:rsidRPr="00411E38">
        <w:rPr>
          <w:rFonts w:ascii="Segoe UI" w:hAnsi="Segoe UI" w:cs="Segoe UI"/>
        </w:rPr>
        <w:t>p</w:t>
      </w:r>
      <w:r w:rsidRPr="00411E38">
        <w:rPr>
          <w:rFonts w:ascii="Segoe UI" w:hAnsi="Segoe UI" w:cs="Segoe UI"/>
        </w:rPr>
        <w:t xml:space="preserve">lan was reviewed </w:t>
      </w:r>
      <w:r w:rsidR="004320EF" w:rsidRPr="00411E38">
        <w:rPr>
          <w:rFonts w:ascii="Segoe UI" w:hAnsi="Segoe UI" w:cs="Segoe UI"/>
        </w:rPr>
        <w:t xml:space="preserve">in </w:t>
      </w:r>
      <w:r w:rsidR="00411E38" w:rsidRPr="00411E38">
        <w:rPr>
          <w:rFonts w:ascii="Segoe UI" w:hAnsi="Segoe UI" w:cs="Segoe UI"/>
        </w:rPr>
        <w:t>May</w:t>
      </w:r>
      <w:r w:rsidR="006C1836" w:rsidRPr="00411E38">
        <w:rPr>
          <w:rFonts w:ascii="Segoe UI" w:hAnsi="Segoe UI" w:cs="Segoe UI"/>
        </w:rPr>
        <w:t xml:space="preserve"> </w:t>
      </w:r>
      <w:r w:rsidRPr="00411E38">
        <w:rPr>
          <w:rFonts w:ascii="Segoe UI" w:hAnsi="Segoe UI" w:cs="Segoe UI"/>
        </w:rPr>
        <w:t>201</w:t>
      </w:r>
      <w:r w:rsidR="005B41AF" w:rsidRPr="00411E38">
        <w:rPr>
          <w:rFonts w:ascii="Segoe UI" w:hAnsi="Segoe UI" w:cs="Segoe UI"/>
        </w:rPr>
        <w:t>4</w:t>
      </w:r>
      <w:r w:rsidR="004D6D84" w:rsidRPr="00411E38">
        <w:rPr>
          <w:rFonts w:ascii="Segoe UI" w:hAnsi="Segoe UI" w:cs="Segoe UI"/>
        </w:rPr>
        <w:t>.</w:t>
      </w:r>
      <w:r w:rsidR="00DE78CB" w:rsidRPr="00411E38">
        <w:rPr>
          <w:rFonts w:ascii="Segoe UI" w:hAnsi="Segoe UI" w:cs="Segoe UI"/>
        </w:rPr>
        <w:t xml:space="preserve">  </w:t>
      </w:r>
      <w:r w:rsidR="003874AA" w:rsidRPr="00411E38">
        <w:rPr>
          <w:rFonts w:ascii="Segoe UI" w:hAnsi="Segoe UI" w:cs="Segoe UI"/>
        </w:rPr>
        <w:t xml:space="preserve">There are several subsidiary plans that link to the major incident plan and </w:t>
      </w:r>
      <w:r w:rsidR="008113EA" w:rsidRPr="00411E38">
        <w:rPr>
          <w:rFonts w:ascii="Segoe UI" w:hAnsi="Segoe UI" w:cs="Segoe UI"/>
        </w:rPr>
        <w:t xml:space="preserve">each year NHS organisations are required to </w:t>
      </w:r>
      <w:r w:rsidR="00577F15" w:rsidRPr="00411E38">
        <w:rPr>
          <w:rFonts w:ascii="Segoe UI" w:hAnsi="Segoe UI" w:cs="Segoe UI"/>
        </w:rPr>
        <w:t>review</w:t>
      </w:r>
      <w:r w:rsidR="008113EA" w:rsidRPr="00411E38">
        <w:rPr>
          <w:rFonts w:ascii="Segoe UI" w:hAnsi="Segoe UI" w:cs="Segoe UI"/>
        </w:rPr>
        <w:t xml:space="preserve"> these plans. </w:t>
      </w:r>
      <w:r w:rsidR="00411E38" w:rsidRPr="00411E38">
        <w:rPr>
          <w:rFonts w:ascii="Segoe UI" w:hAnsi="Segoe UI" w:cs="Segoe UI"/>
        </w:rPr>
        <w:t xml:space="preserve"> </w:t>
      </w:r>
      <w:r w:rsidR="008113EA" w:rsidRPr="00411E38">
        <w:rPr>
          <w:rFonts w:ascii="Segoe UI" w:hAnsi="Segoe UI" w:cs="Segoe UI"/>
        </w:rPr>
        <w:t xml:space="preserve">The following </w:t>
      </w:r>
      <w:r w:rsidR="00390B42" w:rsidRPr="00411E38">
        <w:rPr>
          <w:rFonts w:ascii="Segoe UI" w:hAnsi="Segoe UI" w:cs="Segoe UI"/>
        </w:rPr>
        <w:t xml:space="preserve">response </w:t>
      </w:r>
      <w:r w:rsidR="008113EA" w:rsidRPr="00411E38">
        <w:rPr>
          <w:rFonts w:ascii="Segoe UI" w:hAnsi="Segoe UI" w:cs="Segoe UI"/>
        </w:rPr>
        <w:t>plans were reviewed</w:t>
      </w:r>
      <w:r w:rsidR="004D6D84" w:rsidRPr="00411E38">
        <w:rPr>
          <w:rFonts w:ascii="Segoe UI" w:hAnsi="Segoe UI" w:cs="Segoe UI"/>
        </w:rPr>
        <w:t xml:space="preserve"> during 201</w:t>
      </w:r>
      <w:r w:rsidR="00411E38">
        <w:rPr>
          <w:rFonts w:ascii="Segoe UI" w:hAnsi="Segoe UI" w:cs="Segoe UI"/>
        </w:rPr>
        <w:t>4</w:t>
      </w:r>
      <w:r w:rsidR="004D6D84" w:rsidRPr="00411E38">
        <w:rPr>
          <w:rFonts w:ascii="Segoe UI" w:hAnsi="Segoe UI" w:cs="Segoe UI"/>
        </w:rPr>
        <w:t>/1</w:t>
      </w:r>
      <w:r w:rsidR="00411E38">
        <w:rPr>
          <w:rFonts w:ascii="Segoe UI" w:hAnsi="Segoe UI" w:cs="Segoe UI"/>
        </w:rPr>
        <w:t>5</w:t>
      </w:r>
      <w:r w:rsidR="004D6D84" w:rsidRPr="00411E38">
        <w:rPr>
          <w:rFonts w:ascii="Segoe UI" w:hAnsi="Segoe UI" w:cs="Segoe UI"/>
        </w:rPr>
        <w:t>:</w:t>
      </w:r>
    </w:p>
    <w:p w:rsidR="008113EA" w:rsidRPr="00577F15" w:rsidRDefault="008113EA" w:rsidP="0076180C">
      <w:pPr>
        <w:autoSpaceDE w:val="0"/>
        <w:autoSpaceDN w:val="0"/>
        <w:adjustRightInd w:val="0"/>
        <w:spacing w:after="0" w:line="240" w:lineRule="auto"/>
        <w:ind w:left="567"/>
        <w:jc w:val="both"/>
        <w:rPr>
          <w:rFonts w:ascii="Segoe UI" w:hAnsi="Segoe UI" w:cs="Segoe UI"/>
          <w:color w:val="FF0000"/>
        </w:rPr>
      </w:pPr>
    </w:p>
    <w:p w:rsidR="003874AA" w:rsidRPr="005A5729" w:rsidRDefault="00577F15" w:rsidP="003874AA">
      <w:pPr>
        <w:pStyle w:val="ListParagraph"/>
        <w:numPr>
          <w:ilvl w:val="0"/>
          <w:numId w:val="3"/>
        </w:numPr>
        <w:autoSpaceDE w:val="0"/>
        <w:autoSpaceDN w:val="0"/>
        <w:adjustRightInd w:val="0"/>
        <w:spacing w:after="0" w:line="240" w:lineRule="auto"/>
        <w:jc w:val="both"/>
        <w:rPr>
          <w:rFonts w:ascii="Segoe UI" w:hAnsi="Segoe UI" w:cs="Segoe UI"/>
        </w:rPr>
      </w:pPr>
      <w:r w:rsidRPr="005A5729">
        <w:rPr>
          <w:rFonts w:ascii="Segoe UI" w:hAnsi="Segoe UI" w:cs="Segoe UI"/>
        </w:rPr>
        <w:t>c</w:t>
      </w:r>
      <w:r w:rsidR="003874AA" w:rsidRPr="005A5729">
        <w:rPr>
          <w:rFonts w:ascii="Segoe UI" w:hAnsi="Segoe UI" w:cs="Segoe UI"/>
        </w:rPr>
        <w:t xml:space="preserve">old </w:t>
      </w:r>
      <w:r w:rsidRPr="005A5729">
        <w:rPr>
          <w:rFonts w:ascii="Segoe UI" w:hAnsi="Segoe UI" w:cs="Segoe UI"/>
        </w:rPr>
        <w:t>w</w:t>
      </w:r>
      <w:r w:rsidR="003874AA" w:rsidRPr="005A5729">
        <w:rPr>
          <w:rFonts w:ascii="Segoe UI" w:hAnsi="Segoe UI" w:cs="Segoe UI"/>
        </w:rPr>
        <w:t xml:space="preserve">eather </w:t>
      </w:r>
      <w:r w:rsidRPr="005A5729">
        <w:rPr>
          <w:rFonts w:ascii="Segoe UI" w:hAnsi="Segoe UI" w:cs="Segoe UI"/>
        </w:rPr>
        <w:t>p</w:t>
      </w:r>
      <w:r w:rsidR="003874AA" w:rsidRPr="005A5729">
        <w:rPr>
          <w:rFonts w:ascii="Segoe UI" w:hAnsi="Segoe UI" w:cs="Segoe UI"/>
        </w:rPr>
        <w:t>lan</w:t>
      </w:r>
    </w:p>
    <w:p w:rsidR="003874AA" w:rsidRPr="005A5729" w:rsidRDefault="00577F15" w:rsidP="003874AA">
      <w:pPr>
        <w:pStyle w:val="ListParagraph"/>
        <w:numPr>
          <w:ilvl w:val="0"/>
          <w:numId w:val="3"/>
        </w:numPr>
        <w:autoSpaceDE w:val="0"/>
        <w:autoSpaceDN w:val="0"/>
        <w:adjustRightInd w:val="0"/>
        <w:spacing w:after="0" w:line="240" w:lineRule="auto"/>
        <w:jc w:val="both"/>
        <w:rPr>
          <w:rFonts w:ascii="Segoe UI" w:hAnsi="Segoe UI" w:cs="Segoe UI"/>
        </w:rPr>
      </w:pPr>
      <w:r w:rsidRPr="005A5729">
        <w:rPr>
          <w:rFonts w:ascii="Segoe UI" w:hAnsi="Segoe UI" w:cs="Segoe UI"/>
        </w:rPr>
        <w:t>h</w:t>
      </w:r>
      <w:r w:rsidR="003874AA" w:rsidRPr="005A5729">
        <w:rPr>
          <w:rFonts w:ascii="Segoe UI" w:hAnsi="Segoe UI" w:cs="Segoe UI"/>
        </w:rPr>
        <w:t>eat</w:t>
      </w:r>
      <w:r w:rsidRPr="005A5729">
        <w:rPr>
          <w:rFonts w:ascii="Segoe UI" w:hAnsi="Segoe UI" w:cs="Segoe UI"/>
        </w:rPr>
        <w:t xml:space="preserve"> w</w:t>
      </w:r>
      <w:r w:rsidR="003874AA" w:rsidRPr="005A5729">
        <w:rPr>
          <w:rFonts w:ascii="Segoe UI" w:hAnsi="Segoe UI" w:cs="Segoe UI"/>
        </w:rPr>
        <w:t xml:space="preserve">ave </w:t>
      </w:r>
      <w:r w:rsidRPr="005A5729">
        <w:rPr>
          <w:rFonts w:ascii="Segoe UI" w:hAnsi="Segoe UI" w:cs="Segoe UI"/>
        </w:rPr>
        <w:t>p</w:t>
      </w:r>
      <w:r w:rsidR="003874AA" w:rsidRPr="005A5729">
        <w:rPr>
          <w:rFonts w:ascii="Segoe UI" w:hAnsi="Segoe UI" w:cs="Segoe UI"/>
        </w:rPr>
        <w:t>lan</w:t>
      </w:r>
      <w:r w:rsidR="008113EA" w:rsidRPr="005A5729">
        <w:rPr>
          <w:rFonts w:ascii="Segoe UI" w:hAnsi="Segoe UI" w:cs="Segoe UI"/>
        </w:rPr>
        <w:t xml:space="preserve"> </w:t>
      </w:r>
    </w:p>
    <w:p w:rsidR="00E14E50" w:rsidRPr="005A5729" w:rsidRDefault="00577F15" w:rsidP="003874AA">
      <w:pPr>
        <w:pStyle w:val="ListParagraph"/>
        <w:numPr>
          <w:ilvl w:val="0"/>
          <w:numId w:val="3"/>
        </w:numPr>
        <w:autoSpaceDE w:val="0"/>
        <w:autoSpaceDN w:val="0"/>
        <w:adjustRightInd w:val="0"/>
        <w:spacing w:after="0" w:line="240" w:lineRule="auto"/>
        <w:jc w:val="both"/>
        <w:rPr>
          <w:rFonts w:ascii="Segoe UI" w:hAnsi="Segoe UI" w:cs="Segoe UI"/>
        </w:rPr>
      </w:pPr>
      <w:r w:rsidRPr="005A5729">
        <w:rPr>
          <w:rFonts w:ascii="Segoe UI" w:hAnsi="Segoe UI" w:cs="Segoe UI"/>
        </w:rPr>
        <w:t>h</w:t>
      </w:r>
      <w:r w:rsidR="00E14E50" w:rsidRPr="005A5729">
        <w:rPr>
          <w:rFonts w:ascii="Segoe UI" w:hAnsi="Segoe UI" w:cs="Segoe UI"/>
        </w:rPr>
        <w:t xml:space="preserve">ospital </w:t>
      </w:r>
      <w:r w:rsidRPr="005A5729">
        <w:rPr>
          <w:rFonts w:ascii="Segoe UI" w:hAnsi="Segoe UI" w:cs="Segoe UI"/>
        </w:rPr>
        <w:t>e</w:t>
      </w:r>
      <w:r w:rsidR="00E14E50" w:rsidRPr="005A5729">
        <w:rPr>
          <w:rFonts w:ascii="Segoe UI" w:hAnsi="Segoe UI" w:cs="Segoe UI"/>
        </w:rPr>
        <w:t xml:space="preserve">vacuation </w:t>
      </w:r>
      <w:r w:rsidRPr="005A5729">
        <w:rPr>
          <w:rFonts w:ascii="Segoe UI" w:hAnsi="Segoe UI" w:cs="Segoe UI"/>
        </w:rPr>
        <w:t>p</w:t>
      </w:r>
      <w:r w:rsidR="00E14E50" w:rsidRPr="005A5729">
        <w:rPr>
          <w:rFonts w:ascii="Segoe UI" w:hAnsi="Segoe UI" w:cs="Segoe UI"/>
        </w:rPr>
        <w:t>lan</w:t>
      </w:r>
    </w:p>
    <w:p w:rsidR="00345DEB" w:rsidRPr="005A5729" w:rsidRDefault="00577F15" w:rsidP="003874AA">
      <w:pPr>
        <w:pStyle w:val="ListParagraph"/>
        <w:numPr>
          <w:ilvl w:val="0"/>
          <w:numId w:val="3"/>
        </w:numPr>
        <w:autoSpaceDE w:val="0"/>
        <w:autoSpaceDN w:val="0"/>
        <w:adjustRightInd w:val="0"/>
        <w:spacing w:after="0" w:line="240" w:lineRule="auto"/>
        <w:jc w:val="both"/>
        <w:rPr>
          <w:rFonts w:ascii="Segoe UI" w:hAnsi="Segoe UI" w:cs="Segoe UI"/>
        </w:rPr>
      </w:pPr>
      <w:r w:rsidRPr="005A5729">
        <w:rPr>
          <w:rFonts w:ascii="Segoe UI" w:hAnsi="Segoe UI" w:cs="Segoe UI"/>
        </w:rPr>
        <w:t>p</w:t>
      </w:r>
      <w:r w:rsidR="00345DEB" w:rsidRPr="005A5729">
        <w:rPr>
          <w:rFonts w:ascii="Segoe UI" w:hAnsi="Segoe UI" w:cs="Segoe UI"/>
        </w:rPr>
        <w:t xml:space="preserve">andemic </w:t>
      </w:r>
      <w:r w:rsidRPr="005A5729">
        <w:rPr>
          <w:rFonts w:ascii="Segoe UI" w:hAnsi="Segoe UI" w:cs="Segoe UI"/>
        </w:rPr>
        <w:t>f</w:t>
      </w:r>
      <w:r w:rsidR="00345DEB" w:rsidRPr="005A5729">
        <w:rPr>
          <w:rFonts w:ascii="Segoe UI" w:hAnsi="Segoe UI" w:cs="Segoe UI"/>
        </w:rPr>
        <w:t>lu</w:t>
      </w:r>
      <w:r w:rsidR="00DC5D55" w:rsidRPr="005A5729">
        <w:rPr>
          <w:rFonts w:ascii="Segoe UI" w:hAnsi="Segoe UI" w:cs="Segoe UI"/>
        </w:rPr>
        <w:t xml:space="preserve"> </w:t>
      </w:r>
      <w:r w:rsidRPr="005A5729">
        <w:rPr>
          <w:rFonts w:ascii="Segoe UI" w:hAnsi="Segoe UI" w:cs="Segoe UI"/>
        </w:rPr>
        <w:t>p</w:t>
      </w:r>
      <w:r w:rsidR="00DC5D55" w:rsidRPr="005A5729">
        <w:rPr>
          <w:rFonts w:ascii="Segoe UI" w:hAnsi="Segoe UI" w:cs="Segoe UI"/>
        </w:rPr>
        <w:t>lan</w:t>
      </w:r>
    </w:p>
    <w:p w:rsidR="00EF481F" w:rsidRPr="00176973" w:rsidRDefault="00EF481F" w:rsidP="004A298A">
      <w:pPr>
        <w:autoSpaceDE w:val="0"/>
        <w:autoSpaceDN w:val="0"/>
        <w:adjustRightInd w:val="0"/>
        <w:spacing w:after="0" w:line="240" w:lineRule="auto"/>
        <w:jc w:val="both"/>
        <w:rPr>
          <w:rFonts w:ascii="Segoe UI" w:hAnsi="Segoe UI" w:cs="Segoe UI"/>
          <w:color w:val="FF0000"/>
        </w:rPr>
      </w:pPr>
    </w:p>
    <w:p w:rsidR="007C2232" w:rsidRPr="00176973" w:rsidRDefault="002550EB" w:rsidP="003651B6">
      <w:pPr>
        <w:pStyle w:val="Heading2"/>
        <w:rPr>
          <w:rFonts w:ascii="Segoe UI" w:hAnsi="Segoe UI" w:cs="Segoe UI"/>
          <w:sz w:val="22"/>
          <w:szCs w:val="22"/>
        </w:rPr>
      </w:pPr>
      <w:r>
        <w:rPr>
          <w:rFonts w:ascii="Segoe UI" w:hAnsi="Segoe UI" w:cs="Segoe UI"/>
          <w:sz w:val="22"/>
          <w:szCs w:val="22"/>
        </w:rPr>
        <w:t>Business c</w:t>
      </w:r>
      <w:r w:rsidR="007C2232" w:rsidRPr="00176973">
        <w:rPr>
          <w:rFonts w:ascii="Segoe UI" w:hAnsi="Segoe UI" w:cs="Segoe UI"/>
          <w:sz w:val="22"/>
          <w:szCs w:val="22"/>
        </w:rPr>
        <w:t xml:space="preserve">ontinuity </w:t>
      </w:r>
      <w:r>
        <w:rPr>
          <w:rFonts w:ascii="Segoe UI" w:hAnsi="Segoe UI" w:cs="Segoe UI"/>
          <w:sz w:val="22"/>
          <w:szCs w:val="22"/>
        </w:rPr>
        <w:t>p</w:t>
      </w:r>
      <w:r w:rsidR="007C2232" w:rsidRPr="00176973">
        <w:rPr>
          <w:rFonts w:ascii="Segoe UI" w:hAnsi="Segoe UI" w:cs="Segoe UI"/>
          <w:sz w:val="22"/>
          <w:szCs w:val="22"/>
        </w:rPr>
        <w:t>lan</w:t>
      </w:r>
    </w:p>
    <w:p w:rsidR="009817C7" w:rsidRDefault="000574D3" w:rsidP="00100AAC">
      <w:pPr>
        <w:autoSpaceDE w:val="0"/>
        <w:autoSpaceDN w:val="0"/>
        <w:adjustRightInd w:val="0"/>
        <w:spacing w:after="0" w:line="240" w:lineRule="auto"/>
        <w:ind w:left="567"/>
        <w:jc w:val="both"/>
        <w:rPr>
          <w:rFonts w:ascii="Segoe UI" w:hAnsi="Segoe UI" w:cs="Segoe UI"/>
        </w:rPr>
      </w:pPr>
      <w:r w:rsidRPr="00176973">
        <w:rPr>
          <w:rFonts w:ascii="Segoe UI" w:hAnsi="Segoe UI" w:cs="Segoe UI"/>
        </w:rPr>
        <w:t xml:space="preserve">The Trust </w:t>
      </w:r>
      <w:r w:rsidR="007C2232" w:rsidRPr="00176973">
        <w:rPr>
          <w:rFonts w:ascii="Segoe UI" w:hAnsi="Segoe UI" w:cs="Segoe UI"/>
        </w:rPr>
        <w:t>Business</w:t>
      </w:r>
      <w:r w:rsidR="00D0565D" w:rsidRPr="00176973">
        <w:rPr>
          <w:rFonts w:ascii="Segoe UI" w:hAnsi="Segoe UI" w:cs="Segoe UI"/>
        </w:rPr>
        <w:t xml:space="preserve"> Continuity Plan outlines</w:t>
      </w:r>
      <w:r w:rsidR="007C2232" w:rsidRPr="00176973">
        <w:rPr>
          <w:rFonts w:ascii="Segoe UI" w:hAnsi="Segoe UI" w:cs="Segoe UI"/>
        </w:rPr>
        <w:t xml:space="preserve"> how the Trust w</w:t>
      </w:r>
      <w:r w:rsidR="00D0565D" w:rsidRPr="00176973">
        <w:rPr>
          <w:rFonts w:ascii="Segoe UI" w:hAnsi="Segoe UI" w:cs="Segoe UI"/>
        </w:rPr>
        <w:t xml:space="preserve">ill </w:t>
      </w:r>
      <w:r w:rsidR="007C2232" w:rsidRPr="00176973">
        <w:rPr>
          <w:rFonts w:ascii="Segoe UI" w:hAnsi="Segoe UI" w:cs="Segoe UI"/>
        </w:rPr>
        <w:t>continue to discharge</w:t>
      </w:r>
      <w:r w:rsidR="00D0565D" w:rsidRPr="00176973">
        <w:rPr>
          <w:rFonts w:ascii="Segoe UI" w:hAnsi="Segoe UI" w:cs="Segoe UI"/>
        </w:rPr>
        <w:t xml:space="preserve"> </w:t>
      </w:r>
      <w:r w:rsidR="007C2232" w:rsidRPr="00176973">
        <w:rPr>
          <w:rFonts w:ascii="Segoe UI" w:hAnsi="Segoe UI" w:cs="Segoe UI"/>
        </w:rPr>
        <w:t>core functions in the event of a disruption to business operations</w:t>
      </w:r>
      <w:r w:rsidR="002E0C58">
        <w:rPr>
          <w:rFonts w:ascii="Segoe UI" w:hAnsi="Segoe UI" w:cs="Segoe UI"/>
        </w:rPr>
        <w:t xml:space="preserve"> and</w:t>
      </w:r>
      <w:r w:rsidR="00CE1CC2" w:rsidRPr="00176973">
        <w:rPr>
          <w:rFonts w:ascii="Segoe UI" w:hAnsi="Segoe UI" w:cs="Segoe UI"/>
        </w:rPr>
        <w:t xml:space="preserve"> was reviewed during 201</w:t>
      </w:r>
      <w:r w:rsidR="00577F15">
        <w:rPr>
          <w:rFonts w:ascii="Segoe UI" w:hAnsi="Segoe UI" w:cs="Segoe UI"/>
        </w:rPr>
        <w:t>4</w:t>
      </w:r>
      <w:r w:rsidR="00CE1CC2" w:rsidRPr="00176973">
        <w:rPr>
          <w:rFonts w:ascii="Segoe UI" w:hAnsi="Segoe UI" w:cs="Segoe UI"/>
        </w:rPr>
        <w:t>/1</w:t>
      </w:r>
      <w:r w:rsidR="00577F15">
        <w:rPr>
          <w:rFonts w:ascii="Segoe UI" w:hAnsi="Segoe UI" w:cs="Segoe UI"/>
        </w:rPr>
        <w:t>5</w:t>
      </w:r>
      <w:r w:rsidR="002E0C58">
        <w:rPr>
          <w:rFonts w:ascii="Segoe UI" w:hAnsi="Segoe UI" w:cs="Segoe UI"/>
        </w:rPr>
        <w:t>.  T</w:t>
      </w:r>
      <w:r w:rsidR="00D0565D" w:rsidRPr="00176973">
        <w:rPr>
          <w:rFonts w:ascii="Segoe UI" w:hAnsi="Segoe UI" w:cs="Segoe UI"/>
        </w:rPr>
        <w:t xml:space="preserve">he </w:t>
      </w:r>
      <w:r w:rsidR="00CE1CC2" w:rsidRPr="00176973">
        <w:rPr>
          <w:rFonts w:ascii="Segoe UI" w:hAnsi="Segoe UI" w:cs="Segoe UI"/>
        </w:rPr>
        <w:t>Trust</w:t>
      </w:r>
      <w:r w:rsidR="0068637C">
        <w:rPr>
          <w:rFonts w:ascii="Segoe UI" w:hAnsi="Segoe UI" w:cs="Segoe UI"/>
        </w:rPr>
        <w:t xml:space="preserve"> business continuity p</w:t>
      </w:r>
      <w:r w:rsidR="007C2232" w:rsidRPr="00176973">
        <w:rPr>
          <w:rFonts w:ascii="Segoe UI" w:hAnsi="Segoe UI" w:cs="Segoe UI"/>
        </w:rPr>
        <w:t xml:space="preserve">lan is supported by </w:t>
      </w:r>
      <w:r w:rsidR="0068637C">
        <w:rPr>
          <w:rFonts w:ascii="Segoe UI" w:hAnsi="Segoe UI" w:cs="Segoe UI"/>
        </w:rPr>
        <w:t>service business continuity p</w:t>
      </w:r>
      <w:r w:rsidRPr="00176973">
        <w:rPr>
          <w:rFonts w:ascii="Segoe UI" w:hAnsi="Segoe UI" w:cs="Segoe UI"/>
        </w:rPr>
        <w:t>la</w:t>
      </w:r>
      <w:r w:rsidR="00AE1503" w:rsidRPr="00176973">
        <w:rPr>
          <w:rFonts w:ascii="Segoe UI" w:hAnsi="Segoe UI" w:cs="Segoe UI"/>
        </w:rPr>
        <w:t xml:space="preserve">ns which </w:t>
      </w:r>
      <w:r w:rsidRPr="00176973">
        <w:rPr>
          <w:rFonts w:ascii="Segoe UI" w:hAnsi="Segoe UI" w:cs="Segoe UI"/>
        </w:rPr>
        <w:t xml:space="preserve">are </w:t>
      </w:r>
      <w:r w:rsidR="00D0565D" w:rsidRPr="00176973">
        <w:rPr>
          <w:rFonts w:ascii="Segoe UI" w:hAnsi="Segoe UI" w:cs="Segoe UI"/>
        </w:rPr>
        <w:t xml:space="preserve">also </w:t>
      </w:r>
      <w:r w:rsidRPr="00176973">
        <w:rPr>
          <w:rFonts w:ascii="Segoe UI" w:hAnsi="Segoe UI" w:cs="Segoe UI"/>
        </w:rPr>
        <w:t xml:space="preserve">reviewed on an annual basis.  </w:t>
      </w:r>
    </w:p>
    <w:p w:rsidR="00172B33" w:rsidRPr="00176973" w:rsidRDefault="00172B33" w:rsidP="00100AAC">
      <w:pPr>
        <w:autoSpaceDE w:val="0"/>
        <w:autoSpaceDN w:val="0"/>
        <w:adjustRightInd w:val="0"/>
        <w:spacing w:after="0" w:line="240" w:lineRule="auto"/>
        <w:ind w:left="567"/>
        <w:jc w:val="both"/>
        <w:rPr>
          <w:rFonts w:ascii="Segoe UI" w:hAnsi="Segoe UI" w:cs="Segoe UI"/>
        </w:rPr>
      </w:pPr>
    </w:p>
    <w:p w:rsidR="00172B33" w:rsidRPr="000C01FD" w:rsidRDefault="00172B33" w:rsidP="00100AAC">
      <w:pPr>
        <w:pStyle w:val="Heading2"/>
        <w:autoSpaceDE w:val="0"/>
        <w:autoSpaceDN w:val="0"/>
        <w:adjustRightInd w:val="0"/>
        <w:spacing w:line="240" w:lineRule="auto"/>
        <w:jc w:val="both"/>
        <w:rPr>
          <w:rFonts w:ascii="Segoe UI" w:hAnsi="Segoe UI" w:cs="Segoe UI"/>
        </w:rPr>
      </w:pPr>
      <w:r w:rsidRPr="000C01FD">
        <w:rPr>
          <w:rFonts w:ascii="Segoe UI" w:hAnsi="Segoe UI" w:cs="Segoe UI"/>
          <w:sz w:val="22"/>
          <w:szCs w:val="22"/>
        </w:rPr>
        <w:t xml:space="preserve">Business </w:t>
      </w:r>
      <w:r w:rsidR="002550EB" w:rsidRPr="000C01FD">
        <w:rPr>
          <w:rFonts w:ascii="Segoe UI" w:hAnsi="Segoe UI" w:cs="Segoe UI"/>
          <w:sz w:val="22"/>
          <w:szCs w:val="22"/>
        </w:rPr>
        <w:t>continuity estates and f</w:t>
      </w:r>
      <w:r w:rsidRPr="000C01FD">
        <w:rPr>
          <w:rFonts w:ascii="Segoe UI" w:hAnsi="Segoe UI" w:cs="Segoe UI"/>
          <w:sz w:val="22"/>
          <w:szCs w:val="22"/>
        </w:rPr>
        <w:t>acilities</w:t>
      </w:r>
    </w:p>
    <w:p w:rsidR="00172B33" w:rsidRPr="000C01FD" w:rsidRDefault="002E0C58" w:rsidP="00172B33">
      <w:pPr>
        <w:spacing w:after="0" w:line="240" w:lineRule="auto"/>
        <w:ind w:left="567"/>
        <w:jc w:val="both"/>
        <w:rPr>
          <w:rFonts w:ascii="Segoe UI" w:hAnsi="Segoe UI" w:cs="Segoe UI"/>
          <w:b/>
        </w:rPr>
      </w:pPr>
      <w:r w:rsidRPr="000C01FD">
        <w:rPr>
          <w:rFonts w:ascii="Segoe UI" w:hAnsi="Segoe UI" w:cs="Segoe UI"/>
        </w:rPr>
        <w:t xml:space="preserve">The </w:t>
      </w:r>
      <w:r w:rsidR="002550EB" w:rsidRPr="000C01FD">
        <w:rPr>
          <w:rFonts w:ascii="Segoe UI" w:hAnsi="Segoe UI" w:cs="Segoe UI"/>
        </w:rPr>
        <w:t>associate director of facilities</w:t>
      </w:r>
      <w:r w:rsidR="00172B33" w:rsidRPr="000C01FD">
        <w:rPr>
          <w:rFonts w:ascii="Segoe UI" w:hAnsi="Segoe UI" w:cs="Segoe UI"/>
        </w:rPr>
        <w:t xml:space="preserve"> </w:t>
      </w:r>
      <w:r w:rsidRPr="000C01FD">
        <w:rPr>
          <w:rFonts w:ascii="Segoe UI" w:hAnsi="Segoe UI" w:cs="Segoe UI"/>
        </w:rPr>
        <w:t xml:space="preserve">continues </w:t>
      </w:r>
      <w:r w:rsidR="00172B33" w:rsidRPr="000C01FD">
        <w:rPr>
          <w:rFonts w:ascii="Segoe UI" w:hAnsi="Segoe UI" w:cs="Segoe UI"/>
        </w:rPr>
        <w:t>to</w:t>
      </w:r>
      <w:r w:rsidRPr="000C01FD">
        <w:rPr>
          <w:rFonts w:ascii="Segoe UI" w:hAnsi="Segoe UI" w:cs="Segoe UI"/>
        </w:rPr>
        <w:t xml:space="preserve"> progress a programme of work</w:t>
      </w:r>
      <w:r w:rsidR="00172B33" w:rsidRPr="000C01FD">
        <w:rPr>
          <w:rFonts w:ascii="Segoe UI" w:hAnsi="Segoe UI" w:cs="Segoe UI"/>
        </w:rPr>
        <w:t xml:space="preserve"> </w:t>
      </w:r>
      <w:r w:rsidR="002550EB" w:rsidRPr="000C01FD">
        <w:rPr>
          <w:rFonts w:ascii="Segoe UI" w:hAnsi="Segoe UI" w:cs="Segoe UI"/>
        </w:rPr>
        <w:t xml:space="preserve">to </w:t>
      </w:r>
      <w:r w:rsidR="00172B33" w:rsidRPr="000C01FD">
        <w:rPr>
          <w:rFonts w:ascii="Segoe UI" w:hAnsi="Segoe UI" w:cs="Segoe UI"/>
        </w:rPr>
        <w:t xml:space="preserve">strengthen the Trust’s business continuity arrangements for inpatient areas at hospital sites.  The work </w:t>
      </w:r>
      <w:r w:rsidR="002550EB" w:rsidRPr="000C01FD">
        <w:rPr>
          <w:rFonts w:ascii="Segoe UI" w:hAnsi="Segoe UI" w:cs="Segoe UI"/>
        </w:rPr>
        <w:t>involves the installation of</w:t>
      </w:r>
      <w:r w:rsidR="00172B33" w:rsidRPr="000C01FD">
        <w:rPr>
          <w:rFonts w:ascii="Segoe UI" w:hAnsi="Segoe UI" w:cs="Segoe UI"/>
        </w:rPr>
        <w:t xml:space="preserve"> connection points to building distribution systems for hot and cold water, heating and electricity.  The installation of these</w:t>
      </w:r>
      <w:r w:rsidR="002550EB" w:rsidRPr="000C01FD">
        <w:rPr>
          <w:rFonts w:ascii="Segoe UI" w:hAnsi="Segoe UI" w:cs="Segoe UI"/>
        </w:rPr>
        <w:t xml:space="preserve"> points</w:t>
      </w:r>
      <w:r w:rsidR="00172B33" w:rsidRPr="000C01FD">
        <w:rPr>
          <w:rFonts w:ascii="Segoe UI" w:hAnsi="Segoe UI" w:cs="Segoe UI"/>
        </w:rPr>
        <w:t xml:space="preserve"> will allow </w:t>
      </w:r>
      <w:r w:rsidR="002550EB" w:rsidRPr="000C01FD">
        <w:rPr>
          <w:rFonts w:ascii="Segoe UI" w:hAnsi="Segoe UI" w:cs="Segoe UI"/>
        </w:rPr>
        <w:t xml:space="preserve">an </w:t>
      </w:r>
      <w:r w:rsidR="00172B33" w:rsidRPr="000C01FD">
        <w:rPr>
          <w:rFonts w:ascii="Segoe UI" w:hAnsi="Segoe UI" w:cs="Segoe UI"/>
        </w:rPr>
        <w:t xml:space="preserve">alternative source of supply to be connected i.e. temporary boilers, electricity generators and water bowsers.  </w:t>
      </w:r>
      <w:r w:rsidR="002550EB" w:rsidRPr="000C01FD">
        <w:rPr>
          <w:rFonts w:ascii="Segoe UI" w:hAnsi="Segoe UI" w:cs="Segoe UI"/>
        </w:rPr>
        <w:t>This</w:t>
      </w:r>
      <w:r w:rsidR="00172B33" w:rsidRPr="000C01FD">
        <w:rPr>
          <w:rFonts w:ascii="Segoe UI" w:hAnsi="Segoe UI" w:cs="Segoe UI"/>
        </w:rPr>
        <w:t xml:space="preserve"> means that </w:t>
      </w:r>
      <w:r w:rsidR="002550EB" w:rsidRPr="000C01FD">
        <w:rPr>
          <w:rFonts w:ascii="Segoe UI" w:hAnsi="Segoe UI" w:cs="Segoe UI"/>
        </w:rPr>
        <w:t xml:space="preserve">inpatient </w:t>
      </w:r>
      <w:r w:rsidR="00172B33" w:rsidRPr="000C01FD">
        <w:rPr>
          <w:rFonts w:ascii="Segoe UI" w:hAnsi="Segoe UI" w:cs="Segoe UI"/>
        </w:rPr>
        <w:t>sites could continue to operate, there is limited disruption</w:t>
      </w:r>
      <w:r w:rsidR="002550EB" w:rsidRPr="000C01FD">
        <w:rPr>
          <w:rFonts w:ascii="Segoe UI" w:hAnsi="Segoe UI" w:cs="Segoe UI"/>
        </w:rPr>
        <w:t>,</w:t>
      </w:r>
      <w:r w:rsidR="00172B33" w:rsidRPr="000C01FD">
        <w:rPr>
          <w:rFonts w:ascii="Segoe UI" w:hAnsi="Segoe UI" w:cs="Segoe UI"/>
        </w:rPr>
        <w:t xml:space="preserve"> and evacuation/relocation would not be necessary. </w:t>
      </w:r>
    </w:p>
    <w:p w:rsidR="00172B33" w:rsidRPr="00176973" w:rsidRDefault="00172B33" w:rsidP="00100AAC">
      <w:pPr>
        <w:autoSpaceDE w:val="0"/>
        <w:autoSpaceDN w:val="0"/>
        <w:adjustRightInd w:val="0"/>
        <w:spacing w:after="0" w:line="240" w:lineRule="auto"/>
        <w:ind w:left="567"/>
        <w:jc w:val="both"/>
        <w:rPr>
          <w:rFonts w:ascii="Segoe UI" w:hAnsi="Segoe UI" w:cs="Segoe UI"/>
        </w:rPr>
      </w:pPr>
    </w:p>
    <w:p w:rsidR="007C2232" w:rsidRPr="00176973" w:rsidRDefault="007C2232" w:rsidP="003651B6">
      <w:pPr>
        <w:pStyle w:val="Heading1"/>
        <w:rPr>
          <w:rFonts w:ascii="Segoe UI" w:hAnsi="Segoe UI" w:cs="Segoe UI"/>
          <w:sz w:val="22"/>
          <w:szCs w:val="22"/>
        </w:rPr>
      </w:pPr>
      <w:r w:rsidRPr="00176973">
        <w:rPr>
          <w:rFonts w:ascii="Segoe UI" w:hAnsi="Segoe UI" w:cs="Segoe UI"/>
          <w:sz w:val="22"/>
          <w:szCs w:val="22"/>
        </w:rPr>
        <w:t>Audits</w:t>
      </w:r>
    </w:p>
    <w:p w:rsidR="00EE3191" w:rsidRDefault="008113EA" w:rsidP="00EE3191">
      <w:pPr>
        <w:spacing w:after="0" w:line="240" w:lineRule="auto"/>
        <w:ind w:left="567"/>
        <w:jc w:val="both"/>
        <w:rPr>
          <w:rFonts w:ascii="Segoe UI" w:hAnsi="Segoe UI" w:cs="Segoe UI"/>
        </w:rPr>
      </w:pPr>
      <w:r w:rsidRPr="00176973">
        <w:rPr>
          <w:rFonts w:ascii="Segoe UI" w:hAnsi="Segoe UI" w:cs="Segoe UI"/>
        </w:rPr>
        <w:t>During 201</w:t>
      </w:r>
      <w:r w:rsidR="00783538">
        <w:rPr>
          <w:rFonts w:ascii="Segoe UI" w:hAnsi="Segoe UI" w:cs="Segoe UI"/>
        </w:rPr>
        <w:t>4</w:t>
      </w:r>
      <w:r w:rsidRPr="00176973">
        <w:rPr>
          <w:rFonts w:ascii="Segoe UI" w:hAnsi="Segoe UI" w:cs="Segoe UI"/>
        </w:rPr>
        <w:t>/1</w:t>
      </w:r>
      <w:r w:rsidR="00783538">
        <w:rPr>
          <w:rFonts w:ascii="Segoe UI" w:hAnsi="Segoe UI" w:cs="Segoe UI"/>
        </w:rPr>
        <w:t>5</w:t>
      </w:r>
      <w:r w:rsidR="002F5596" w:rsidRPr="00176973">
        <w:rPr>
          <w:rFonts w:ascii="Segoe UI" w:hAnsi="Segoe UI" w:cs="Segoe UI"/>
        </w:rPr>
        <w:t xml:space="preserve"> </w:t>
      </w:r>
      <w:r w:rsidR="00EE3191" w:rsidRPr="00176973">
        <w:rPr>
          <w:rFonts w:ascii="Segoe UI" w:hAnsi="Segoe UI" w:cs="Segoe UI"/>
        </w:rPr>
        <w:t>NHS England</w:t>
      </w:r>
      <w:r w:rsidR="00D3379F">
        <w:rPr>
          <w:rFonts w:ascii="Segoe UI" w:hAnsi="Segoe UI" w:cs="Segoe UI"/>
        </w:rPr>
        <w:t xml:space="preserve"> Thames Valley</w:t>
      </w:r>
      <w:r w:rsidR="00783538">
        <w:rPr>
          <w:rFonts w:ascii="Segoe UI" w:hAnsi="Segoe UI" w:cs="Segoe UI"/>
        </w:rPr>
        <w:t xml:space="preserve"> and the Clinical Commissioning Groups</w:t>
      </w:r>
      <w:r w:rsidR="000C01FD">
        <w:rPr>
          <w:rFonts w:ascii="Segoe UI" w:hAnsi="Segoe UI" w:cs="Segoe UI"/>
        </w:rPr>
        <w:t xml:space="preserve"> in Thames Valley</w:t>
      </w:r>
      <w:r w:rsidR="00EE3191" w:rsidRPr="00176973">
        <w:rPr>
          <w:rFonts w:ascii="Segoe UI" w:hAnsi="Segoe UI" w:cs="Segoe UI"/>
        </w:rPr>
        <w:t xml:space="preserve"> sought assurance </w:t>
      </w:r>
      <w:r w:rsidR="00D3379F">
        <w:rPr>
          <w:rFonts w:ascii="Segoe UI" w:hAnsi="Segoe UI" w:cs="Segoe UI"/>
        </w:rPr>
        <w:t>regarding the</w:t>
      </w:r>
      <w:r w:rsidR="00EE3191" w:rsidRPr="00176973">
        <w:rPr>
          <w:rFonts w:ascii="Segoe UI" w:hAnsi="Segoe UI" w:cs="Segoe UI"/>
        </w:rPr>
        <w:t xml:space="preserve"> Trust’s preparedness in relation to the</w:t>
      </w:r>
      <w:r w:rsidR="000C01FD">
        <w:rPr>
          <w:rFonts w:ascii="Segoe UI" w:hAnsi="Segoe UI" w:cs="Segoe UI"/>
        </w:rPr>
        <w:t xml:space="preserve"> NHS England</w:t>
      </w:r>
      <w:r w:rsidR="00EE3191" w:rsidRPr="00176973">
        <w:rPr>
          <w:rFonts w:ascii="Segoe UI" w:hAnsi="Segoe UI" w:cs="Segoe UI"/>
        </w:rPr>
        <w:t xml:space="preserve"> core standards for emergency preparedness, resilience and response</w:t>
      </w:r>
      <w:r w:rsidR="000C01FD">
        <w:rPr>
          <w:rFonts w:ascii="Segoe UI" w:hAnsi="Segoe UI" w:cs="Segoe UI"/>
        </w:rPr>
        <w:t xml:space="preserve"> (2013)</w:t>
      </w:r>
      <w:r w:rsidR="00EE3191" w:rsidRPr="00176973">
        <w:rPr>
          <w:rFonts w:ascii="Segoe UI" w:hAnsi="Segoe UI" w:cs="Segoe UI"/>
        </w:rPr>
        <w:t>.  Oxford Health NHS Foundation Trust was able to declare full compliance with the listed criteria.  This self-assessment w</w:t>
      </w:r>
      <w:r w:rsidR="0090235B">
        <w:rPr>
          <w:rFonts w:ascii="Segoe UI" w:hAnsi="Segoe UI" w:cs="Segoe UI"/>
        </w:rPr>
        <w:t xml:space="preserve">as examined and accepted by </w:t>
      </w:r>
      <w:r w:rsidR="00EE3191" w:rsidRPr="00176973">
        <w:rPr>
          <w:rFonts w:ascii="Segoe UI" w:hAnsi="Segoe UI" w:cs="Segoe UI"/>
        </w:rPr>
        <w:t>NHS England Thames Valley</w:t>
      </w:r>
      <w:r w:rsidR="00783538">
        <w:rPr>
          <w:rFonts w:ascii="Segoe UI" w:hAnsi="Segoe UI" w:cs="Segoe UI"/>
        </w:rPr>
        <w:t xml:space="preserve"> and Clinical Commissioning Groups</w:t>
      </w:r>
      <w:r w:rsidR="00EE3191" w:rsidRPr="00176973">
        <w:rPr>
          <w:rFonts w:ascii="Segoe UI" w:hAnsi="Segoe UI" w:cs="Segoe UI"/>
        </w:rPr>
        <w:t xml:space="preserve"> </w:t>
      </w:r>
      <w:r w:rsidR="00EE3191" w:rsidRPr="007812D4">
        <w:rPr>
          <w:rFonts w:ascii="Segoe UI" w:hAnsi="Segoe UI" w:cs="Segoe UI"/>
        </w:rPr>
        <w:t xml:space="preserve">in </w:t>
      </w:r>
      <w:r w:rsidR="007812D4" w:rsidRPr="007812D4">
        <w:rPr>
          <w:rFonts w:ascii="Segoe UI" w:hAnsi="Segoe UI" w:cs="Segoe UI"/>
        </w:rPr>
        <w:t>September 2014</w:t>
      </w:r>
      <w:r w:rsidR="00EE3191" w:rsidRPr="007812D4">
        <w:rPr>
          <w:rFonts w:ascii="Segoe UI" w:hAnsi="Segoe UI" w:cs="Segoe UI"/>
        </w:rPr>
        <w:t xml:space="preserve">.  </w:t>
      </w:r>
    </w:p>
    <w:p w:rsidR="00A84873" w:rsidRPr="00176973" w:rsidRDefault="00A84873" w:rsidP="00EE3191">
      <w:pPr>
        <w:spacing w:after="0" w:line="240" w:lineRule="auto"/>
        <w:ind w:left="567"/>
        <w:jc w:val="both"/>
        <w:rPr>
          <w:rFonts w:ascii="Segoe UI" w:hAnsi="Segoe UI" w:cs="Segoe UI"/>
        </w:rPr>
      </w:pPr>
    </w:p>
    <w:p w:rsidR="007C2232" w:rsidRPr="00176973" w:rsidRDefault="007C2232" w:rsidP="003651B6">
      <w:pPr>
        <w:pStyle w:val="Heading1"/>
        <w:rPr>
          <w:rFonts w:ascii="Segoe UI" w:hAnsi="Segoe UI" w:cs="Segoe UI"/>
          <w:sz w:val="22"/>
          <w:szCs w:val="22"/>
        </w:rPr>
      </w:pPr>
      <w:r w:rsidRPr="00176973">
        <w:rPr>
          <w:rFonts w:ascii="Segoe UI" w:hAnsi="Segoe UI" w:cs="Segoe UI"/>
          <w:sz w:val="22"/>
          <w:szCs w:val="22"/>
        </w:rPr>
        <w:t>Partnership Working</w:t>
      </w:r>
    </w:p>
    <w:p w:rsidR="000A0805" w:rsidRPr="002B1607" w:rsidRDefault="000A6C03" w:rsidP="00372976">
      <w:pPr>
        <w:pStyle w:val="Default"/>
        <w:ind w:left="567"/>
        <w:jc w:val="both"/>
        <w:rPr>
          <w:rFonts w:ascii="Segoe UI" w:hAnsi="Segoe UI" w:cs="Segoe UI"/>
          <w:color w:val="auto"/>
          <w:sz w:val="22"/>
          <w:szCs w:val="22"/>
        </w:rPr>
      </w:pPr>
      <w:r w:rsidRPr="00176973">
        <w:rPr>
          <w:rFonts w:ascii="Segoe UI" w:hAnsi="Segoe UI" w:cs="Segoe UI"/>
          <w:color w:val="auto"/>
          <w:sz w:val="22"/>
          <w:szCs w:val="22"/>
        </w:rPr>
        <w:t>The Trust works</w:t>
      </w:r>
      <w:r w:rsidR="007C2232" w:rsidRPr="00176973">
        <w:rPr>
          <w:rFonts w:ascii="Segoe UI" w:hAnsi="Segoe UI" w:cs="Segoe UI"/>
          <w:color w:val="auto"/>
          <w:sz w:val="22"/>
          <w:szCs w:val="22"/>
        </w:rPr>
        <w:t xml:space="preserve"> in collaboration with a range of partner agencies</w:t>
      </w:r>
      <w:r w:rsidR="009A71C7" w:rsidRPr="00176973">
        <w:rPr>
          <w:rFonts w:ascii="Segoe UI" w:hAnsi="Segoe UI" w:cs="Segoe UI"/>
          <w:color w:val="auto"/>
          <w:sz w:val="22"/>
          <w:szCs w:val="22"/>
        </w:rPr>
        <w:t xml:space="preserve"> </w:t>
      </w:r>
      <w:r w:rsidR="007C2232" w:rsidRPr="00176973">
        <w:rPr>
          <w:rFonts w:ascii="Segoe UI" w:hAnsi="Segoe UI" w:cs="Segoe UI"/>
          <w:color w:val="auto"/>
          <w:sz w:val="22"/>
          <w:szCs w:val="22"/>
        </w:rPr>
        <w:t>t</w:t>
      </w:r>
      <w:r w:rsidR="000A0805">
        <w:rPr>
          <w:rFonts w:ascii="Segoe UI" w:hAnsi="Segoe UI" w:cs="Segoe UI"/>
          <w:color w:val="auto"/>
          <w:sz w:val="22"/>
          <w:szCs w:val="22"/>
        </w:rPr>
        <w:t xml:space="preserve">hrough formal standing meetings.  </w:t>
      </w:r>
      <w:r w:rsidR="000A0805" w:rsidRPr="002B1607">
        <w:rPr>
          <w:rFonts w:ascii="Segoe UI" w:hAnsi="Segoe UI" w:cs="Segoe UI"/>
          <w:color w:val="auto"/>
          <w:sz w:val="22"/>
          <w:szCs w:val="22"/>
        </w:rPr>
        <w:t>During 2014/15</w:t>
      </w:r>
      <w:r w:rsidR="00372976" w:rsidRPr="002B1607">
        <w:rPr>
          <w:rFonts w:ascii="Segoe UI" w:hAnsi="Segoe UI" w:cs="Segoe UI"/>
          <w:color w:val="auto"/>
          <w:sz w:val="22"/>
          <w:szCs w:val="22"/>
        </w:rPr>
        <w:t xml:space="preserve"> Yvonne Tayl</w:t>
      </w:r>
      <w:r w:rsidR="000A0805" w:rsidRPr="002B1607">
        <w:rPr>
          <w:rFonts w:ascii="Segoe UI" w:hAnsi="Segoe UI" w:cs="Segoe UI"/>
          <w:color w:val="auto"/>
          <w:sz w:val="22"/>
          <w:szCs w:val="22"/>
        </w:rPr>
        <w:t>or, Chief Operating Officer</w:t>
      </w:r>
      <w:r w:rsidR="00372976" w:rsidRPr="002B1607">
        <w:rPr>
          <w:rFonts w:ascii="Segoe UI" w:hAnsi="Segoe UI" w:cs="Segoe UI"/>
          <w:color w:val="auto"/>
          <w:sz w:val="22"/>
          <w:szCs w:val="22"/>
        </w:rPr>
        <w:t xml:space="preserve"> provide</w:t>
      </w:r>
      <w:r w:rsidR="000A0805" w:rsidRPr="002B1607">
        <w:rPr>
          <w:rFonts w:ascii="Segoe UI" w:hAnsi="Segoe UI" w:cs="Segoe UI"/>
          <w:color w:val="auto"/>
          <w:sz w:val="22"/>
          <w:szCs w:val="22"/>
        </w:rPr>
        <w:t>d</w:t>
      </w:r>
      <w:r w:rsidR="00372976" w:rsidRPr="002B1607">
        <w:rPr>
          <w:rFonts w:ascii="Segoe UI" w:hAnsi="Segoe UI" w:cs="Segoe UI"/>
          <w:color w:val="auto"/>
          <w:sz w:val="22"/>
          <w:szCs w:val="22"/>
        </w:rPr>
        <w:t xml:space="preserve"> representation at </w:t>
      </w:r>
      <w:r w:rsidR="000A0805" w:rsidRPr="002B1607">
        <w:rPr>
          <w:rFonts w:ascii="Segoe UI" w:hAnsi="Segoe UI" w:cs="Segoe UI"/>
          <w:color w:val="auto"/>
          <w:sz w:val="22"/>
          <w:szCs w:val="22"/>
        </w:rPr>
        <w:t xml:space="preserve">the </w:t>
      </w:r>
      <w:r w:rsidR="00D95ED2">
        <w:rPr>
          <w:rFonts w:ascii="Segoe UI" w:hAnsi="Segoe UI" w:cs="Segoe UI"/>
          <w:color w:val="auto"/>
          <w:sz w:val="22"/>
          <w:szCs w:val="22"/>
        </w:rPr>
        <w:t xml:space="preserve">Thames Valley </w:t>
      </w:r>
      <w:r w:rsidR="000A0805" w:rsidRPr="002B1607">
        <w:rPr>
          <w:rFonts w:ascii="Segoe UI" w:hAnsi="Segoe UI" w:cs="Segoe UI"/>
          <w:color w:val="auto"/>
          <w:sz w:val="22"/>
          <w:szCs w:val="22"/>
        </w:rPr>
        <w:t>Loca</w:t>
      </w:r>
      <w:r w:rsidR="00D95ED2">
        <w:rPr>
          <w:rFonts w:ascii="Segoe UI" w:hAnsi="Segoe UI" w:cs="Segoe UI"/>
          <w:color w:val="auto"/>
          <w:sz w:val="22"/>
          <w:szCs w:val="22"/>
        </w:rPr>
        <w:t>l Health Resilience Partnership</w:t>
      </w:r>
      <w:r w:rsidR="00372976" w:rsidRPr="002B1607">
        <w:rPr>
          <w:rFonts w:ascii="Segoe UI" w:hAnsi="Segoe UI" w:cs="Segoe UI"/>
          <w:color w:val="auto"/>
          <w:sz w:val="22"/>
          <w:szCs w:val="22"/>
        </w:rPr>
        <w:t xml:space="preserve"> on behalf of all </w:t>
      </w:r>
      <w:r w:rsidR="000A0805" w:rsidRPr="002B1607">
        <w:rPr>
          <w:rFonts w:ascii="Segoe UI" w:hAnsi="Segoe UI" w:cs="Segoe UI"/>
          <w:color w:val="auto"/>
          <w:sz w:val="22"/>
          <w:szCs w:val="22"/>
        </w:rPr>
        <w:t xml:space="preserve">provider </w:t>
      </w:r>
      <w:r w:rsidR="00372976" w:rsidRPr="002B1607">
        <w:rPr>
          <w:rFonts w:ascii="Segoe UI" w:hAnsi="Segoe UI" w:cs="Segoe UI"/>
          <w:color w:val="auto"/>
          <w:sz w:val="22"/>
          <w:szCs w:val="22"/>
        </w:rPr>
        <w:t>NHS Trusts in Thames Valley.</w:t>
      </w:r>
      <w:r w:rsidR="000A0805" w:rsidRPr="002B1607">
        <w:rPr>
          <w:rFonts w:ascii="Segoe UI" w:hAnsi="Segoe UI" w:cs="Segoe UI"/>
          <w:color w:val="auto"/>
          <w:sz w:val="22"/>
          <w:szCs w:val="22"/>
        </w:rPr>
        <w:t xml:space="preserve">  Local Health Resilience Partnerships (LHRPs) are strategic forums for local organisations to facilitate health sector preparedness and planning for emergencies at Local Resilience Forum level.  Members of the LHRP are executive representatives who are able to authorise plans and commit resources on behalf of their organisations.</w:t>
      </w:r>
    </w:p>
    <w:p w:rsidR="000A0805" w:rsidRDefault="000A0805" w:rsidP="00372976">
      <w:pPr>
        <w:pStyle w:val="Default"/>
        <w:ind w:left="567"/>
        <w:jc w:val="both"/>
        <w:rPr>
          <w:rFonts w:ascii="Segoe UI" w:hAnsi="Segoe UI" w:cs="Segoe UI"/>
          <w:color w:val="FF0000"/>
          <w:sz w:val="22"/>
          <w:szCs w:val="22"/>
        </w:rPr>
      </w:pPr>
    </w:p>
    <w:p w:rsidR="002B1607" w:rsidRDefault="002B1607" w:rsidP="00372976">
      <w:pPr>
        <w:pStyle w:val="Default"/>
        <w:ind w:left="567"/>
        <w:jc w:val="both"/>
        <w:rPr>
          <w:rFonts w:ascii="Segoe UI" w:hAnsi="Segoe UI" w:cs="Segoe UI"/>
          <w:color w:val="auto"/>
          <w:sz w:val="22"/>
          <w:szCs w:val="22"/>
        </w:rPr>
      </w:pPr>
      <w:r w:rsidRPr="002B1607">
        <w:rPr>
          <w:rFonts w:ascii="Segoe UI" w:hAnsi="Segoe UI" w:cs="Segoe UI"/>
          <w:color w:val="auto"/>
          <w:sz w:val="22"/>
          <w:szCs w:val="22"/>
        </w:rPr>
        <w:lastRenderedPageBreak/>
        <w:t xml:space="preserve">During 2014/15 the emergency planning lead </w:t>
      </w:r>
      <w:r>
        <w:rPr>
          <w:rFonts w:ascii="Segoe UI" w:hAnsi="Segoe UI" w:cs="Segoe UI"/>
          <w:color w:val="auto"/>
          <w:sz w:val="22"/>
          <w:szCs w:val="22"/>
        </w:rPr>
        <w:t xml:space="preserve">was chair for the </w:t>
      </w:r>
      <w:r w:rsidR="000A0805">
        <w:rPr>
          <w:rFonts w:ascii="Segoe UI" w:hAnsi="Segoe UI" w:cs="Segoe UI"/>
          <w:color w:val="auto"/>
          <w:sz w:val="22"/>
          <w:szCs w:val="22"/>
        </w:rPr>
        <w:t>Thames Valley</w:t>
      </w:r>
      <w:r w:rsidR="000A0805" w:rsidRPr="00176973">
        <w:rPr>
          <w:rFonts w:ascii="Segoe UI" w:hAnsi="Segoe UI" w:cs="Segoe UI"/>
          <w:color w:val="auto"/>
          <w:sz w:val="22"/>
          <w:szCs w:val="22"/>
        </w:rPr>
        <w:t xml:space="preserve"> </w:t>
      </w:r>
      <w:r w:rsidR="000A0805">
        <w:rPr>
          <w:rFonts w:ascii="Segoe UI" w:hAnsi="Segoe UI" w:cs="Segoe UI"/>
          <w:bCs/>
          <w:color w:val="auto"/>
          <w:sz w:val="22"/>
          <w:szCs w:val="22"/>
        </w:rPr>
        <w:t>Emergency Planning Officers Forum</w:t>
      </w:r>
      <w:r>
        <w:rPr>
          <w:rFonts w:ascii="Segoe UI" w:hAnsi="Segoe UI" w:cs="Segoe UI"/>
          <w:bCs/>
          <w:color w:val="auto"/>
          <w:sz w:val="22"/>
          <w:szCs w:val="22"/>
        </w:rPr>
        <w:t>.  The purpose of this</w:t>
      </w:r>
      <w:r w:rsidR="000A0805" w:rsidRPr="00176973">
        <w:rPr>
          <w:rFonts w:ascii="Segoe UI" w:hAnsi="Segoe UI" w:cs="Segoe UI"/>
          <w:bCs/>
          <w:color w:val="auto"/>
          <w:sz w:val="22"/>
          <w:szCs w:val="22"/>
        </w:rPr>
        <w:t xml:space="preserve"> group is to </w:t>
      </w:r>
      <w:r w:rsidR="000A0805" w:rsidRPr="00176973">
        <w:rPr>
          <w:rFonts w:ascii="Segoe UI" w:hAnsi="Segoe UI" w:cs="Segoe UI"/>
          <w:color w:val="auto"/>
          <w:sz w:val="22"/>
          <w:szCs w:val="22"/>
        </w:rPr>
        <w:t>ensure that effective and coordinated a</w:t>
      </w:r>
      <w:r w:rsidR="000A0805">
        <w:rPr>
          <w:rFonts w:ascii="Segoe UI" w:hAnsi="Segoe UI" w:cs="Segoe UI"/>
          <w:color w:val="auto"/>
          <w:sz w:val="22"/>
          <w:szCs w:val="22"/>
        </w:rPr>
        <w:t>rrangements are in place for multi-agency</w:t>
      </w:r>
      <w:r w:rsidR="000A0805" w:rsidRPr="00176973">
        <w:rPr>
          <w:rFonts w:ascii="Segoe UI" w:hAnsi="Segoe UI" w:cs="Segoe UI"/>
          <w:color w:val="auto"/>
          <w:sz w:val="22"/>
          <w:szCs w:val="22"/>
        </w:rPr>
        <w:t xml:space="preserve"> emergency preparedness and response, in accordance with national policy and direction from the </w:t>
      </w:r>
      <w:r w:rsidR="000A0805">
        <w:rPr>
          <w:rFonts w:ascii="Segoe UI" w:hAnsi="Segoe UI" w:cs="Segoe UI"/>
          <w:color w:val="auto"/>
          <w:sz w:val="22"/>
          <w:szCs w:val="22"/>
        </w:rPr>
        <w:t>NHS England Thames Valley</w:t>
      </w:r>
      <w:r w:rsidR="000A0805" w:rsidRPr="00176973">
        <w:rPr>
          <w:rFonts w:ascii="Segoe UI" w:hAnsi="Segoe UI" w:cs="Segoe UI"/>
          <w:color w:val="auto"/>
          <w:sz w:val="22"/>
          <w:szCs w:val="22"/>
        </w:rPr>
        <w:t xml:space="preserve">.  </w:t>
      </w:r>
    </w:p>
    <w:p w:rsidR="002B1607" w:rsidRDefault="002B1607" w:rsidP="00372976">
      <w:pPr>
        <w:pStyle w:val="Default"/>
        <w:ind w:left="567"/>
        <w:jc w:val="both"/>
        <w:rPr>
          <w:rFonts w:ascii="Segoe UI" w:hAnsi="Segoe UI" w:cs="Segoe UI"/>
          <w:color w:val="auto"/>
          <w:sz w:val="22"/>
          <w:szCs w:val="22"/>
        </w:rPr>
      </w:pPr>
    </w:p>
    <w:p w:rsidR="00372976" w:rsidRDefault="002B1607" w:rsidP="00372976">
      <w:pPr>
        <w:pStyle w:val="Default"/>
        <w:ind w:left="567"/>
        <w:jc w:val="both"/>
        <w:rPr>
          <w:rFonts w:ascii="Segoe UI" w:hAnsi="Segoe UI" w:cs="Segoe UI"/>
          <w:color w:val="auto"/>
          <w:sz w:val="22"/>
          <w:szCs w:val="22"/>
        </w:rPr>
      </w:pPr>
      <w:r w:rsidRPr="00176973">
        <w:rPr>
          <w:rFonts w:ascii="Segoe UI" w:hAnsi="Segoe UI" w:cs="Segoe UI"/>
          <w:color w:val="auto"/>
          <w:sz w:val="22"/>
          <w:szCs w:val="22"/>
        </w:rPr>
        <w:t>Formal committees, of which the Trust was a member</w:t>
      </w:r>
      <w:r>
        <w:rPr>
          <w:rFonts w:ascii="Segoe UI" w:hAnsi="Segoe UI" w:cs="Segoe UI"/>
          <w:color w:val="auto"/>
          <w:sz w:val="22"/>
          <w:szCs w:val="22"/>
        </w:rPr>
        <w:t xml:space="preserve"> during 2014/15 include the </w:t>
      </w:r>
      <w:r w:rsidRPr="00176973">
        <w:rPr>
          <w:rFonts w:ascii="Segoe UI" w:hAnsi="Segoe UI" w:cs="Segoe UI"/>
          <w:bCs/>
          <w:color w:val="auto"/>
          <w:sz w:val="22"/>
          <w:szCs w:val="22"/>
        </w:rPr>
        <w:t xml:space="preserve">Oxfordshire </w:t>
      </w:r>
      <w:r>
        <w:rPr>
          <w:rFonts w:ascii="Segoe UI" w:hAnsi="Segoe UI" w:cs="Segoe UI"/>
          <w:bCs/>
          <w:color w:val="auto"/>
          <w:sz w:val="22"/>
          <w:szCs w:val="22"/>
        </w:rPr>
        <w:t xml:space="preserve">and Buckinghamshire </w:t>
      </w:r>
      <w:r w:rsidRPr="00176973">
        <w:rPr>
          <w:rFonts w:ascii="Segoe UI" w:hAnsi="Segoe UI" w:cs="Segoe UI"/>
          <w:bCs/>
          <w:color w:val="auto"/>
          <w:sz w:val="22"/>
          <w:szCs w:val="22"/>
        </w:rPr>
        <w:t>Resilience Group</w:t>
      </w:r>
      <w:r>
        <w:rPr>
          <w:rFonts w:ascii="Segoe UI" w:hAnsi="Segoe UI" w:cs="Segoe UI"/>
          <w:bCs/>
          <w:color w:val="auto"/>
          <w:sz w:val="22"/>
          <w:szCs w:val="22"/>
        </w:rPr>
        <w:t>s</w:t>
      </w:r>
      <w:r w:rsidRPr="00176973">
        <w:rPr>
          <w:rFonts w:ascii="Segoe UI" w:hAnsi="Segoe UI" w:cs="Segoe UI"/>
          <w:bCs/>
          <w:color w:val="auto"/>
          <w:sz w:val="22"/>
          <w:szCs w:val="22"/>
        </w:rPr>
        <w:t>.</w:t>
      </w:r>
      <w:r>
        <w:rPr>
          <w:rFonts w:ascii="Segoe UI" w:hAnsi="Segoe UI" w:cs="Segoe UI"/>
          <w:bCs/>
          <w:color w:val="auto"/>
          <w:sz w:val="22"/>
          <w:szCs w:val="22"/>
        </w:rPr>
        <w:t xml:space="preserve">  </w:t>
      </w:r>
      <w:r w:rsidR="000A0805" w:rsidRPr="00176973">
        <w:rPr>
          <w:rFonts w:ascii="Segoe UI" w:hAnsi="Segoe UI" w:cs="Segoe UI"/>
          <w:color w:val="auto"/>
          <w:sz w:val="22"/>
          <w:szCs w:val="22"/>
        </w:rPr>
        <w:t>Links are also in place with emergency planning colleagues in Swindon, Wiltshire, Bath and North East Somerset.</w:t>
      </w:r>
    </w:p>
    <w:p w:rsidR="002B1607" w:rsidRPr="00372976" w:rsidRDefault="002B1607" w:rsidP="00372976">
      <w:pPr>
        <w:pStyle w:val="Default"/>
        <w:ind w:left="567"/>
        <w:jc w:val="both"/>
        <w:rPr>
          <w:rFonts w:ascii="Segoe UI" w:hAnsi="Segoe UI" w:cs="Segoe UI"/>
          <w:color w:val="FF0000"/>
          <w:sz w:val="22"/>
          <w:szCs w:val="22"/>
          <w:lang w:val="en-US"/>
        </w:rPr>
      </w:pPr>
    </w:p>
    <w:p w:rsidR="00345DEB" w:rsidRPr="004A7127" w:rsidRDefault="007C2232" w:rsidP="003651B6">
      <w:pPr>
        <w:pStyle w:val="Heading1"/>
        <w:rPr>
          <w:rFonts w:ascii="Segoe UI" w:hAnsi="Segoe UI" w:cs="Segoe UI"/>
          <w:sz w:val="22"/>
          <w:szCs w:val="22"/>
        </w:rPr>
      </w:pPr>
      <w:r w:rsidRPr="004A7127">
        <w:rPr>
          <w:rFonts w:ascii="Segoe UI" w:hAnsi="Segoe UI" w:cs="Segoe UI"/>
          <w:sz w:val="22"/>
          <w:szCs w:val="22"/>
        </w:rPr>
        <w:t>Training and Exercises</w:t>
      </w:r>
    </w:p>
    <w:p w:rsidR="00CA3629" w:rsidRPr="004A7127" w:rsidRDefault="00282B89" w:rsidP="000A6C03">
      <w:pPr>
        <w:autoSpaceDE w:val="0"/>
        <w:autoSpaceDN w:val="0"/>
        <w:adjustRightInd w:val="0"/>
        <w:spacing w:after="0" w:line="240" w:lineRule="auto"/>
        <w:ind w:left="567"/>
        <w:jc w:val="both"/>
        <w:rPr>
          <w:rFonts w:ascii="Segoe UI" w:hAnsi="Segoe UI" w:cs="Segoe UI"/>
          <w:bCs/>
        </w:rPr>
      </w:pPr>
      <w:r w:rsidRPr="004A7127">
        <w:rPr>
          <w:rFonts w:ascii="Segoe UI" w:hAnsi="Segoe UI" w:cs="Segoe UI"/>
          <w:bCs/>
        </w:rPr>
        <w:t>Major incident tra</w:t>
      </w:r>
      <w:r w:rsidR="000A6C03" w:rsidRPr="004A7127">
        <w:rPr>
          <w:rFonts w:ascii="Segoe UI" w:hAnsi="Segoe UI" w:cs="Segoe UI"/>
          <w:bCs/>
        </w:rPr>
        <w:t xml:space="preserve">ining and </w:t>
      </w:r>
      <w:r w:rsidR="00E87D6E" w:rsidRPr="004A7127">
        <w:rPr>
          <w:rFonts w:ascii="Segoe UI" w:hAnsi="Segoe UI" w:cs="Segoe UI"/>
          <w:bCs/>
        </w:rPr>
        <w:t xml:space="preserve">the </w:t>
      </w:r>
      <w:r w:rsidR="000A6C03" w:rsidRPr="004A7127">
        <w:rPr>
          <w:rFonts w:ascii="Segoe UI" w:hAnsi="Segoe UI" w:cs="Segoe UI"/>
          <w:bCs/>
        </w:rPr>
        <w:t xml:space="preserve">exercising </w:t>
      </w:r>
      <w:r w:rsidR="00E87D6E" w:rsidRPr="004A7127">
        <w:rPr>
          <w:rFonts w:ascii="Segoe UI" w:hAnsi="Segoe UI" w:cs="Segoe UI"/>
          <w:bCs/>
        </w:rPr>
        <w:t xml:space="preserve">of </w:t>
      </w:r>
      <w:r w:rsidR="000A6C03" w:rsidRPr="004A7127">
        <w:rPr>
          <w:rFonts w:ascii="Segoe UI" w:hAnsi="Segoe UI" w:cs="Segoe UI"/>
          <w:bCs/>
        </w:rPr>
        <w:t xml:space="preserve">plans is an important part of </w:t>
      </w:r>
      <w:r w:rsidRPr="004A7127">
        <w:rPr>
          <w:rFonts w:ascii="Segoe UI" w:hAnsi="Segoe UI" w:cs="Segoe UI"/>
          <w:bCs/>
        </w:rPr>
        <w:t>the emergency preparedness cycle</w:t>
      </w:r>
      <w:r w:rsidR="00654083" w:rsidRPr="004A7127">
        <w:rPr>
          <w:rFonts w:ascii="Segoe UI" w:hAnsi="Segoe UI" w:cs="Segoe UI"/>
          <w:bCs/>
        </w:rPr>
        <w:t>.</w:t>
      </w:r>
      <w:r w:rsidR="00B918A0" w:rsidRPr="004A7127">
        <w:rPr>
          <w:rFonts w:ascii="Segoe UI" w:hAnsi="Segoe UI" w:cs="Segoe UI"/>
          <w:bCs/>
        </w:rPr>
        <w:t xml:space="preserve">  </w:t>
      </w:r>
    </w:p>
    <w:p w:rsidR="00CA3629" w:rsidRPr="004039D1" w:rsidRDefault="00CA3629" w:rsidP="000A6C03">
      <w:pPr>
        <w:autoSpaceDE w:val="0"/>
        <w:autoSpaceDN w:val="0"/>
        <w:adjustRightInd w:val="0"/>
        <w:spacing w:after="0" w:line="240" w:lineRule="auto"/>
        <w:ind w:left="567"/>
        <w:jc w:val="both"/>
        <w:rPr>
          <w:rFonts w:ascii="Segoe UI" w:hAnsi="Segoe UI" w:cs="Segoe UI"/>
          <w:bCs/>
        </w:rPr>
      </w:pPr>
    </w:p>
    <w:p w:rsidR="00CA3629" w:rsidRPr="004039D1" w:rsidRDefault="00CA3629" w:rsidP="00CA3629">
      <w:pPr>
        <w:pStyle w:val="Heading2"/>
        <w:rPr>
          <w:rFonts w:ascii="Segoe UI" w:hAnsi="Segoe UI" w:cs="Segoe UI"/>
          <w:sz w:val="22"/>
          <w:szCs w:val="22"/>
        </w:rPr>
      </w:pPr>
      <w:r w:rsidRPr="004039D1">
        <w:rPr>
          <w:rFonts w:ascii="Segoe UI" w:hAnsi="Segoe UI" w:cs="Segoe UI"/>
          <w:sz w:val="22"/>
          <w:szCs w:val="22"/>
        </w:rPr>
        <w:t>Training</w:t>
      </w:r>
      <w:r w:rsidR="00DD756A" w:rsidRPr="004039D1">
        <w:rPr>
          <w:rFonts w:ascii="Segoe UI" w:hAnsi="Segoe UI" w:cs="Segoe UI"/>
          <w:sz w:val="22"/>
          <w:szCs w:val="22"/>
        </w:rPr>
        <w:t xml:space="preserve"> </w:t>
      </w:r>
    </w:p>
    <w:p w:rsidR="004039D1" w:rsidRPr="004039D1" w:rsidRDefault="004A7127" w:rsidP="004039D1">
      <w:pPr>
        <w:autoSpaceDE w:val="0"/>
        <w:autoSpaceDN w:val="0"/>
        <w:adjustRightInd w:val="0"/>
        <w:spacing w:after="0" w:line="240" w:lineRule="auto"/>
        <w:ind w:left="567"/>
        <w:jc w:val="both"/>
        <w:rPr>
          <w:rFonts w:ascii="Segoe UI" w:hAnsi="Segoe UI" w:cs="Segoe UI"/>
          <w:bCs/>
        </w:rPr>
      </w:pPr>
      <w:r w:rsidRPr="004039D1">
        <w:rPr>
          <w:rFonts w:ascii="Segoe UI" w:hAnsi="Segoe UI" w:cs="Segoe UI"/>
          <w:bCs/>
        </w:rPr>
        <w:t>All directors</w:t>
      </w:r>
      <w:r w:rsidR="004039D1" w:rsidRPr="004039D1">
        <w:rPr>
          <w:rFonts w:ascii="Segoe UI" w:hAnsi="Segoe UI" w:cs="Segoe UI"/>
          <w:bCs/>
        </w:rPr>
        <w:t xml:space="preserve"> who are part of the</w:t>
      </w:r>
      <w:r w:rsidRPr="004039D1">
        <w:rPr>
          <w:rFonts w:ascii="Segoe UI" w:hAnsi="Segoe UI" w:cs="Segoe UI"/>
          <w:bCs/>
        </w:rPr>
        <w:t xml:space="preserve"> </w:t>
      </w:r>
      <w:r w:rsidR="004039D1" w:rsidRPr="004039D1">
        <w:rPr>
          <w:rFonts w:ascii="Segoe UI" w:hAnsi="Segoe UI" w:cs="Segoe UI"/>
          <w:bCs/>
        </w:rPr>
        <w:t xml:space="preserve">director </w:t>
      </w:r>
      <w:r w:rsidR="0068166B">
        <w:rPr>
          <w:rFonts w:ascii="Segoe UI" w:hAnsi="Segoe UI" w:cs="Segoe UI"/>
          <w:bCs/>
        </w:rPr>
        <w:t xml:space="preserve">on call rota are required to undertake strategic leadership in a </w:t>
      </w:r>
      <w:r w:rsidRPr="004039D1">
        <w:rPr>
          <w:rFonts w:ascii="Segoe UI" w:hAnsi="Segoe UI" w:cs="Segoe UI"/>
          <w:bCs/>
        </w:rPr>
        <w:t>crisis training and this was p</w:t>
      </w:r>
      <w:r w:rsidR="00D95ED2">
        <w:rPr>
          <w:rFonts w:ascii="Segoe UI" w:hAnsi="Segoe UI" w:cs="Segoe UI"/>
          <w:bCs/>
        </w:rPr>
        <w:t>rovided to the</w:t>
      </w:r>
      <w:r w:rsidRPr="004039D1">
        <w:rPr>
          <w:rFonts w:ascii="Segoe UI" w:hAnsi="Segoe UI" w:cs="Segoe UI"/>
          <w:bCs/>
        </w:rPr>
        <w:t xml:space="preserve"> </w:t>
      </w:r>
      <w:r w:rsidR="00D95ED2">
        <w:rPr>
          <w:rFonts w:ascii="Segoe UI" w:hAnsi="Segoe UI" w:cs="Segoe UI"/>
          <w:bCs/>
        </w:rPr>
        <w:t>D</w:t>
      </w:r>
      <w:r w:rsidR="005F2F10">
        <w:rPr>
          <w:rFonts w:ascii="Segoe UI" w:hAnsi="Segoe UI" w:cs="Segoe UI"/>
          <w:bCs/>
        </w:rPr>
        <w:t>irector of B</w:t>
      </w:r>
      <w:r w:rsidRPr="004039D1">
        <w:rPr>
          <w:rFonts w:ascii="Segoe UI" w:hAnsi="Segoe UI" w:cs="Segoe UI"/>
          <w:bCs/>
        </w:rPr>
        <w:t xml:space="preserve">usiness </w:t>
      </w:r>
      <w:r w:rsidR="005F2F10">
        <w:rPr>
          <w:rFonts w:ascii="Segoe UI" w:hAnsi="Segoe UI" w:cs="Segoe UI"/>
          <w:bCs/>
        </w:rPr>
        <w:t>Development and P</w:t>
      </w:r>
      <w:r w:rsidRPr="004039D1">
        <w:rPr>
          <w:rFonts w:ascii="Segoe UI" w:hAnsi="Segoe UI" w:cs="Segoe UI"/>
          <w:bCs/>
        </w:rPr>
        <w:t>artnerships</w:t>
      </w:r>
      <w:r w:rsidR="00D95ED2">
        <w:rPr>
          <w:rFonts w:ascii="Segoe UI" w:hAnsi="Segoe UI" w:cs="Segoe UI"/>
          <w:bCs/>
        </w:rPr>
        <w:t xml:space="preserve"> in </w:t>
      </w:r>
      <w:r w:rsidR="005F2F10">
        <w:rPr>
          <w:rFonts w:ascii="Segoe UI" w:hAnsi="Segoe UI" w:cs="Segoe UI"/>
          <w:bCs/>
        </w:rPr>
        <w:t>September 2014</w:t>
      </w:r>
      <w:r w:rsidRPr="004039D1">
        <w:rPr>
          <w:rFonts w:ascii="Segoe UI" w:hAnsi="Segoe UI" w:cs="Segoe UI"/>
          <w:bCs/>
        </w:rPr>
        <w:t xml:space="preserve">.  </w:t>
      </w:r>
      <w:r w:rsidR="004B6181" w:rsidRPr="004039D1">
        <w:rPr>
          <w:rFonts w:ascii="Segoe UI" w:hAnsi="Segoe UI" w:cs="Segoe UI"/>
          <w:bCs/>
        </w:rPr>
        <w:t>A</w:t>
      </w:r>
      <w:r w:rsidR="00B918A0" w:rsidRPr="004039D1">
        <w:rPr>
          <w:rFonts w:ascii="Segoe UI" w:hAnsi="Segoe UI" w:cs="Segoe UI"/>
          <w:bCs/>
        </w:rPr>
        <w:t xml:space="preserve">d hoc training was also provided to staff members during </w:t>
      </w:r>
      <w:r w:rsidR="0068166B">
        <w:rPr>
          <w:rFonts w:ascii="Segoe UI" w:hAnsi="Segoe UI" w:cs="Segoe UI"/>
          <w:bCs/>
        </w:rPr>
        <w:t>2014/15</w:t>
      </w:r>
      <w:r w:rsidR="00B918A0" w:rsidRPr="004039D1">
        <w:rPr>
          <w:rFonts w:ascii="Segoe UI" w:hAnsi="Segoe UI" w:cs="Segoe UI"/>
          <w:bCs/>
        </w:rPr>
        <w:t xml:space="preserve"> in order to </w:t>
      </w:r>
      <w:r w:rsidR="00B308EE" w:rsidRPr="004039D1">
        <w:rPr>
          <w:rFonts w:ascii="Segoe UI" w:hAnsi="Segoe UI" w:cs="Segoe UI"/>
          <w:bCs/>
        </w:rPr>
        <w:t>raise</w:t>
      </w:r>
      <w:r w:rsidR="00B918A0" w:rsidRPr="004039D1">
        <w:rPr>
          <w:rFonts w:ascii="Segoe UI" w:hAnsi="Segoe UI" w:cs="Segoe UI"/>
          <w:bCs/>
        </w:rPr>
        <w:t xml:space="preserve"> awareness of the Trust’s role in a major incident and the importance of having business continuity arrangements in place.</w:t>
      </w:r>
      <w:r w:rsidR="00CD7772" w:rsidRPr="004039D1">
        <w:rPr>
          <w:rFonts w:ascii="Segoe UI" w:hAnsi="Segoe UI" w:cs="Segoe UI"/>
          <w:bCs/>
        </w:rPr>
        <w:t xml:space="preserve">  Staff members are also provided with information regarding emergency planning and business continuity arrangements at corporate induction and there is a prompt on the local induction checklist to familiarise new staff members with major incident and business continuity plans.</w:t>
      </w:r>
    </w:p>
    <w:p w:rsidR="000A6C03" w:rsidRPr="00AF43A7" w:rsidRDefault="000A6C03" w:rsidP="000A6C03">
      <w:pPr>
        <w:autoSpaceDE w:val="0"/>
        <w:autoSpaceDN w:val="0"/>
        <w:adjustRightInd w:val="0"/>
        <w:spacing w:after="0" w:line="240" w:lineRule="auto"/>
        <w:jc w:val="both"/>
        <w:rPr>
          <w:rFonts w:ascii="Segoe UI" w:hAnsi="Segoe UI" w:cs="Segoe UI"/>
          <w:b/>
          <w:bCs/>
          <w:color w:val="FF0000"/>
        </w:rPr>
      </w:pPr>
    </w:p>
    <w:p w:rsidR="00CA3629" w:rsidRPr="007E67F3" w:rsidRDefault="00CA3629" w:rsidP="00CA3629">
      <w:pPr>
        <w:pStyle w:val="Heading2"/>
        <w:rPr>
          <w:rFonts w:ascii="Segoe UI" w:hAnsi="Segoe UI" w:cs="Segoe UI"/>
          <w:sz w:val="22"/>
          <w:szCs w:val="22"/>
        </w:rPr>
      </w:pPr>
      <w:r w:rsidRPr="007E67F3">
        <w:rPr>
          <w:rFonts w:ascii="Segoe UI" w:hAnsi="Segoe UI" w:cs="Segoe UI"/>
          <w:sz w:val="22"/>
          <w:szCs w:val="22"/>
        </w:rPr>
        <w:t>Exercises</w:t>
      </w:r>
    </w:p>
    <w:p w:rsidR="0036421F" w:rsidRPr="00AF43A7" w:rsidRDefault="009A1546" w:rsidP="0036421F">
      <w:pPr>
        <w:pStyle w:val="Default"/>
        <w:ind w:left="567"/>
        <w:jc w:val="both"/>
        <w:rPr>
          <w:rFonts w:ascii="Segoe UI" w:hAnsi="Segoe UI" w:cs="Segoe UI"/>
          <w:color w:val="FF0000"/>
          <w:sz w:val="22"/>
          <w:szCs w:val="22"/>
        </w:rPr>
      </w:pPr>
      <w:r w:rsidRPr="007E67F3">
        <w:rPr>
          <w:rFonts w:ascii="Segoe UI" w:hAnsi="Segoe UI" w:cs="Segoe UI"/>
          <w:color w:val="auto"/>
          <w:sz w:val="22"/>
          <w:szCs w:val="22"/>
        </w:rPr>
        <w:t xml:space="preserve">NHS organisations </w:t>
      </w:r>
      <w:r w:rsidR="00E86201" w:rsidRPr="007E67F3">
        <w:rPr>
          <w:rFonts w:ascii="Segoe UI" w:hAnsi="Segoe UI" w:cs="Segoe UI"/>
          <w:color w:val="auto"/>
          <w:sz w:val="22"/>
          <w:szCs w:val="22"/>
        </w:rPr>
        <w:t>are</w:t>
      </w:r>
      <w:r w:rsidRPr="007E67F3">
        <w:rPr>
          <w:rFonts w:ascii="Segoe UI" w:hAnsi="Segoe UI" w:cs="Segoe UI"/>
          <w:color w:val="auto"/>
          <w:sz w:val="22"/>
          <w:szCs w:val="22"/>
        </w:rPr>
        <w:t xml:space="preserve"> required to undertake a minimum of a live exercise every three years, a table top exercise every year and a test of communicat</w:t>
      </w:r>
      <w:r w:rsidR="00D34847">
        <w:rPr>
          <w:rFonts w:ascii="Segoe UI" w:hAnsi="Segoe UI" w:cs="Segoe UI"/>
          <w:color w:val="auto"/>
          <w:sz w:val="22"/>
          <w:szCs w:val="22"/>
        </w:rPr>
        <w:t xml:space="preserve">ions cascades every six months.  The </w:t>
      </w:r>
      <w:r w:rsidR="00657EC1" w:rsidRPr="003372E8">
        <w:rPr>
          <w:rFonts w:ascii="Segoe UI" w:hAnsi="Segoe UI" w:cs="Segoe UI"/>
          <w:bCs/>
          <w:color w:val="auto"/>
          <w:sz w:val="22"/>
          <w:szCs w:val="22"/>
        </w:rPr>
        <w:t>Trust</w:t>
      </w:r>
      <w:r w:rsidR="005C618E" w:rsidRPr="003372E8">
        <w:rPr>
          <w:rFonts w:ascii="Segoe UI" w:hAnsi="Segoe UI" w:cs="Segoe UI"/>
          <w:bCs/>
          <w:color w:val="auto"/>
          <w:sz w:val="22"/>
          <w:szCs w:val="22"/>
        </w:rPr>
        <w:t xml:space="preserve"> </w:t>
      </w:r>
      <w:r w:rsidR="00E86201" w:rsidRPr="003372E8">
        <w:rPr>
          <w:rFonts w:ascii="Segoe UI" w:hAnsi="Segoe UI" w:cs="Segoe UI"/>
          <w:bCs/>
          <w:color w:val="auto"/>
          <w:sz w:val="22"/>
          <w:szCs w:val="22"/>
        </w:rPr>
        <w:t xml:space="preserve">carried out </w:t>
      </w:r>
      <w:r w:rsidR="000C137A">
        <w:rPr>
          <w:rFonts w:ascii="Segoe UI" w:hAnsi="Segoe UI" w:cs="Segoe UI"/>
          <w:bCs/>
          <w:color w:val="auto"/>
          <w:sz w:val="22"/>
          <w:szCs w:val="22"/>
        </w:rPr>
        <w:t>two</w:t>
      </w:r>
      <w:r w:rsidR="003A2492" w:rsidRPr="003372E8">
        <w:rPr>
          <w:rFonts w:ascii="Segoe UI" w:hAnsi="Segoe UI" w:cs="Segoe UI"/>
          <w:bCs/>
          <w:color w:val="auto"/>
          <w:sz w:val="22"/>
          <w:szCs w:val="22"/>
        </w:rPr>
        <w:t xml:space="preserve"> </w:t>
      </w:r>
      <w:r w:rsidR="00CA3629" w:rsidRPr="003372E8">
        <w:rPr>
          <w:rFonts w:ascii="Segoe UI" w:hAnsi="Segoe UI" w:cs="Segoe UI"/>
          <w:bCs/>
          <w:color w:val="auto"/>
          <w:sz w:val="22"/>
          <w:szCs w:val="22"/>
        </w:rPr>
        <w:t>communications cascades</w:t>
      </w:r>
      <w:r w:rsidR="00E357DA">
        <w:rPr>
          <w:rFonts w:ascii="Segoe UI" w:hAnsi="Segoe UI" w:cs="Segoe UI"/>
          <w:bCs/>
          <w:color w:val="auto"/>
          <w:sz w:val="22"/>
          <w:szCs w:val="22"/>
        </w:rPr>
        <w:t>, several</w:t>
      </w:r>
      <w:r w:rsidR="003E5F0C">
        <w:rPr>
          <w:rFonts w:ascii="Segoe UI" w:hAnsi="Segoe UI" w:cs="Segoe UI"/>
          <w:bCs/>
          <w:color w:val="auto"/>
          <w:sz w:val="22"/>
          <w:szCs w:val="22"/>
        </w:rPr>
        <w:t xml:space="preserve"> live exercise</w:t>
      </w:r>
      <w:r w:rsidR="00E357DA">
        <w:rPr>
          <w:rFonts w:ascii="Segoe UI" w:hAnsi="Segoe UI" w:cs="Segoe UI"/>
          <w:bCs/>
          <w:color w:val="auto"/>
          <w:sz w:val="22"/>
          <w:szCs w:val="22"/>
        </w:rPr>
        <w:t>s</w:t>
      </w:r>
      <w:r w:rsidR="00CA3629" w:rsidRPr="003372E8">
        <w:rPr>
          <w:rFonts w:ascii="Segoe UI" w:hAnsi="Segoe UI" w:cs="Segoe UI"/>
          <w:bCs/>
          <w:color w:val="auto"/>
          <w:sz w:val="22"/>
          <w:szCs w:val="22"/>
        </w:rPr>
        <w:t xml:space="preserve"> and </w:t>
      </w:r>
      <w:r w:rsidR="005C618E" w:rsidRPr="003372E8">
        <w:rPr>
          <w:rFonts w:ascii="Segoe UI" w:hAnsi="Segoe UI" w:cs="Segoe UI"/>
          <w:bCs/>
          <w:color w:val="auto"/>
          <w:sz w:val="22"/>
          <w:szCs w:val="22"/>
        </w:rPr>
        <w:t>severa</w:t>
      </w:r>
      <w:r w:rsidR="009E38FE" w:rsidRPr="003372E8">
        <w:rPr>
          <w:rFonts w:ascii="Segoe UI" w:hAnsi="Segoe UI" w:cs="Segoe UI"/>
          <w:bCs/>
          <w:color w:val="auto"/>
          <w:sz w:val="22"/>
          <w:szCs w:val="22"/>
        </w:rPr>
        <w:t>l table</w:t>
      </w:r>
      <w:r w:rsidR="00140B79" w:rsidRPr="003372E8">
        <w:rPr>
          <w:rFonts w:ascii="Segoe UI" w:hAnsi="Segoe UI" w:cs="Segoe UI"/>
          <w:bCs/>
          <w:color w:val="auto"/>
          <w:sz w:val="22"/>
          <w:szCs w:val="22"/>
        </w:rPr>
        <w:t xml:space="preserve"> </w:t>
      </w:r>
      <w:r w:rsidR="009E38FE" w:rsidRPr="003372E8">
        <w:rPr>
          <w:rFonts w:ascii="Segoe UI" w:hAnsi="Segoe UI" w:cs="Segoe UI"/>
          <w:bCs/>
          <w:color w:val="auto"/>
          <w:sz w:val="22"/>
          <w:szCs w:val="22"/>
        </w:rPr>
        <w:t>top exercises</w:t>
      </w:r>
      <w:r w:rsidR="00427069" w:rsidRPr="003372E8">
        <w:rPr>
          <w:rFonts w:ascii="Segoe UI" w:hAnsi="Segoe UI" w:cs="Segoe UI"/>
          <w:bCs/>
          <w:color w:val="auto"/>
          <w:sz w:val="22"/>
          <w:szCs w:val="22"/>
        </w:rPr>
        <w:t xml:space="preserve"> (with multiagency involvement)</w:t>
      </w:r>
      <w:r w:rsidR="009E38FE" w:rsidRPr="003372E8">
        <w:rPr>
          <w:rFonts w:ascii="Segoe UI" w:hAnsi="Segoe UI" w:cs="Segoe UI"/>
          <w:bCs/>
          <w:color w:val="auto"/>
          <w:sz w:val="22"/>
          <w:szCs w:val="22"/>
        </w:rPr>
        <w:t xml:space="preserve"> during 201</w:t>
      </w:r>
      <w:r w:rsidR="003372E8" w:rsidRPr="003372E8">
        <w:rPr>
          <w:rFonts w:ascii="Segoe UI" w:hAnsi="Segoe UI" w:cs="Segoe UI"/>
          <w:bCs/>
          <w:color w:val="auto"/>
          <w:sz w:val="22"/>
          <w:szCs w:val="22"/>
        </w:rPr>
        <w:t>4</w:t>
      </w:r>
      <w:r w:rsidR="009E38FE" w:rsidRPr="003372E8">
        <w:rPr>
          <w:rFonts w:ascii="Segoe UI" w:hAnsi="Segoe UI" w:cs="Segoe UI"/>
          <w:bCs/>
          <w:color w:val="auto"/>
          <w:sz w:val="22"/>
          <w:szCs w:val="22"/>
        </w:rPr>
        <w:t>/1</w:t>
      </w:r>
      <w:r w:rsidR="003372E8" w:rsidRPr="003372E8">
        <w:rPr>
          <w:rFonts w:ascii="Segoe UI" w:hAnsi="Segoe UI" w:cs="Segoe UI"/>
          <w:bCs/>
          <w:color w:val="auto"/>
          <w:sz w:val="22"/>
          <w:szCs w:val="22"/>
        </w:rPr>
        <w:t>5</w:t>
      </w:r>
      <w:r w:rsidR="005C618E" w:rsidRPr="003372E8">
        <w:rPr>
          <w:rFonts w:ascii="Segoe UI" w:hAnsi="Segoe UI" w:cs="Segoe UI"/>
          <w:bCs/>
          <w:color w:val="auto"/>
          <w:sz w:val="22"/>
          <w:szCs w:val="22"/>
        </w:rPr>
        <w:t xml:space="preserve"> </w:t>
      </w:r>
      <w:r w:rsidR="00D34847">
        <w:rPr>
          <w:rFonts w:ascii="Segoe UI" w:hAnsi="Segoe UI" w:cs="Segoe UI"/>
          <w:bCs/>
          <w:color w:val="auto"/>
          <w:sz w:val="22"/>
          <w:szCs w:val="22"/>
        </w:rPr>
        <w:t>(see</w:t>
      </w:r>
      <w:r w:rsidR="005C618E" w:rsidRPr="003372E8">
        <w:rPr>
          <w:rFonts w:ascii="Segoe UI" w:hAnsi="Segoe UI" w:cs="Segoe UI"/>
          <w:bCs/>
          <w:color w:val="auto"/>
          <w:sz w:val="22"/>
          <w:szCs w:val="22"/>
        </w:rPr>
        <w:t xml:space="preserve"> Table 1</w:t>
      </w:r>
      <w:r w:rsidR="00D34847">
        <w:rPr>
          <w:rFonts w:ascii="Segoe UI" w:hAnsi="Segoe UI" w:cs="Segoe UI"/>
          <w:bCs/>
          <w:color w:val="auto"/>
          <w:sz w:val="22"/>
          <w:szCs w:val="22"/>
        </w:rPr>
        <w:t>)</w:t>
      </w:r>
      <w:r w:rsidR="005C618E" w:rsidRPr="003372E8">
        <w:rPr>
          <w:rFonts w:ascii="Segoe UI" w:hAnsi="Segoe UI" w:cs="Segoe UI"/>
          <w:bCs/>
          <w:color w:val="auto"/>
          <w:sz w:val="22"/>
          <w:szCs w:val="22"/>
        </w:rPr>
        <w:t>.</w:t>
      </w:r>
      <w:r w:rsidR="003E5F0C">
        <w:rPr>
          <w:rFonts w:ascii="Segoe UI" w:hAnsi="Segoe UI" w:cs="Segoe UI"/>
          <w:color w:val="auto"/>
          <w:sz w:val="22"/>
          <w:szCs w:val="22"/>
        </w:rPr>
        <w:t xml:space="preserve">  </w:t>
      </w:r>
      <w:r w:rsidR="0036421F" w:rsidRPr="003372E8">
        <w:rPr>
          <w:rFonts w:ascii="Segoe UI" w:hAnsi="Segoe UI" w:cs="Segoe UI"/>
          <w:color w:val="auto"/>
          <w:sz w:val="22"/>
          <w:szCs w:val="22"/>
        </w:rPr>
        <w:t xml:space="preserve">Lessons identified </w:t>
      </w:r>
      <w:r w:rsidR="00140B79" w:rsidRPr="003372E8">
        <w:rPr>
          <w:rFonts w:ascii="Segoe UI" w:hAnsi="Segoe UI" w:cs="Segoe UI"/>
          <w:color w:val="auto"/>
          <w:sz w:val="22"/>
          <w:szCs w:val="22"/>
        </w:rPr>
        <w:t xml:space="preserve">from </w:t>
      </w:r>
      <w:r w:rsidR="0036421F" w:rsidRPr="003372E8">
        <w:rPr>
          <w:rFonts w:ascii="Segoe UI" w:hAnsi="Segoe UI" w:cs="Segoe UI"/>
          <w:color w:val="auto"/>
          <w:sz w:val="22"/>
          <w:szCs w:val="22"/>
        </w:rPr>
        <w:t xml:space="preserve">exercises are incorporated into major incident plans and business continuity plans, and </w:t>
      </w:r>
      <w:r w:rsidR="00140B79" w:rsidRPr="003372E8">
        <w:rPr>
          <w:rFonts w:ascii="Segoe UI" w:hAnsi="Segoe UI" w:cs="Segoe UI"/>
          <w:color w:val="auto"/>
          <w:sz w:val="22"/>
          <w:szCs w:val="22"/>
        </w:rPr>
        <w:t xml:space="preserve">are </w:t>
      </w:r>
      <w:r w:rsidR="0036421F" w:rsidRPr="003372E8">
        <w:rPr>
          <w:rFonts w:ascii="Segoe UI" w:hAnsi="Segoe UI" w:cs="Segoe UI"/>
          <w:color w:val="auto"/>
          <w:sz w:val="22"/>
          <w:szCs w:val="22"/>
        </w:rPr>
        <w:t xml:space="preserve">also shared with partner organisations.  </w:t>
      </w:r>
    </w:p>
    <w:p w:rsidR="00427AA6" w:rsidRDefault="00427AA6" w:rsidP="005927A1">
      <w:pPr>
        <w:spacing w:after="0" w:line="240" w:lineRule="auto"/>
        <w:ind w:firstLine="567"/>
        <w:rPr>
          <w:rFonts w:ascii="Segoe UI" w:hAnsi="Segoe UI" w:cs="Segoe UI"/>
          <w:b/>
          <w:bCs/>
        </w:rPr>
      </w:pPr>
    </w:p>
    <w:p w:rsidR="005C618E" w:rsidRPr="006F143D" w:rsidRDefault="005C618E" w:rsidP="00427AA6">
      <w:pPr>
        <w:spacing w:after="0" w:line="240" w:lineRule="auto"/>
        <w:ind w:firstLine="567"/>
        <w:rPr>
          <w:rFonts w:ascii="Segoe UI" w:hAnsi="Segoe UI" w:cs="Segoe UI"/>
          <w:b/>
          <w:bCs/>
        </w:rPr>
      </w:pPr>
      <w:r w:rsidRPr="006F143D">
        <w:rPr>
          <w:rFonts w:ascii="Segoe UI" w:hAnsi="Segoe UI" w:cs="Segoe UI"/>
          <w:b/>
          <w:bCs/>
        </w:rPr>
        <w:t xml:space="preserve">Table 1.  </w:t>
      </w:r>
      <w:r w:rsidR="001B27E3" w:rsidRPr="006F143D">
        <w:rPr>
          <w:rFonts w:ascii="Segoe UI" w:hAnsi="Segoe UI" w:cs="Segoe UI"/>
          <w:b/>
          <w:bCs/>
        </w:rPr>
        <w:t>E</w:t>
      </w:r>
      <w:r w:rsidR="00E86201" w:rsidRPr="006F143D">
        <w:rPr>
          <w:rFonts w:ascii="Segoe UI" w:hAnsi="Segoe UI" w:cs="Segoe UI"/>
          <w:b/>
          <w:bCs/>
        </w:rPr>
        <w:t>xercises for 201</w:t>
      </w:r>
      <w:r w:rsidR="002041B1" w:rsidRPr="006F143D">
        <w:rPr>
          <w:rFonts w:ascii="Segoe UI" w:hAnsi="Segoe UI" w:cs="Segoe UI"/>
          <w:b/>
          <w:bCs/>
        </w:rPr>
        <w:t>4</w:t>
      </w:r>
      <w:r w:rsidR="00F65E77" w:rsidRPr="006F143D">
        <w:rPr>
          <w:rFonts w:ascii="Segoe UI" w:hAnsi="Segoe UI" w:cs="Segoe UI"/>
          <w:b/>
          <w:bCs/>
        </w:rPr>
        <w:t>/1</w:t>
      </w:r>
      <w:r w:rsidR="002041B1" w:rsidRPr="006F143D">
        <w:rPr>
          <w:rFonts w:ascii="Segoe UI" w:hAnsi="Segoe UI" w:cs="Segoe UI"/>
          <w:b/>
          <w:bCs/>
        </w:rPr>
        <w:t>5</w:t>
      </w:r>
    </w:p>
    <w:tbl>
      <w:tblPr>
        <w:tblW w:w="0" w:type="auto"/>
        <w:tblInd w:w="675" w:type="dxa"/>
        <w:tblLook w:val="04A0" w:firstRow="1" w:lastRow="0" w:firstColumn="1" w:lastColumn="0" w:noHBand="0" w:noVBand="1"/>
      </w:tblPr>
      <w:tblGrid>
        <w:gridCol w:w="1702"/>
        <w:gridCol w:w="3118"/>
        <w:gridCol w:w="1559"/>
        <w:gridCol w:w="3410"/>
      </w:tblGrid>
      <w:tr w:rsidR="00664B0C" w:rsidRPr="00E81AFB" w:rsidTr="003E66D8">
        <w:tc>
          <w:tcPr>
            <w:tcW w:w="1702" w:type="dxa"/>
            <w:tcBorders>
              <w:top w:val="single" w:sz="4" w:space="0" w:color="auto"/>
              <w:left w:val="single" w:sz="4" w:space="0" w:color="auto"/>
              <w:bottom w:val="single" w:sz="4" w:space="0" w:color="auto"/>
            </w:tcBorders>
          </w:tcPr>
          <w:p w:rsidR="00664B0C" w:rsidRPr="00E81AFB" w:rsidRDefault="00664B0C" w:rsidP="00EF4DAB">
            <w:pPr>
              <w:pStyle w:val="Default"/>
              <w:tabs>
                <w:tab w:val="left" w:pos="567"/>
              </w:tabs>
              <w:rPr>
                <w:rFonts w:ascii="Segoe UI" w:hAnsi="Segoe UI" w:cs="Segoe UI"/>
                <w:b/>
                <w:bCs/>
                <w:color w:val="auto"/>
                <w:sz w:val="20"/>
                <w:szCs w:val="20"/>
              </w:rPr>
            </w:pPr>
            <w:r w:rsidRPr="00E81AFB">
              <w:rPr>
                <w:rFonts w:ascii="Segoe UI" w:hAnsi="Segoe UI" w:cs="Segoe UI"/>
                <w:b/>
                <w:bCs/>
                <w:color w:val="auto"/>
                <w:sz w:val="20"/>
                <w:szCs w:val="20"/>
              </w:rPr>
              <w:t>Type</w:t>
            </w:r>
          </w:p>
        </w:tc>
        <w:tc>
          <w:tcPr>
            <w:tcW w:w="3118" w:type="dxa"/>
            <w:tcBorders>
              <w:top w:val="single" w:sz="4" w:space="0" w:color="auto"/>
              <w:left w:val="single" w:sz="4" w:space="0" w:color="auto"/>
              <w:bottom w:val="single" w:sz="4" w:space="0" w:color="auto"/>
            </w:tcBorders>
          </w:tcPr>
          <w:p w:rsidR="00664B0C" w:rsidRPr="00E81AFB" w:rsidRDefault="00664B0C" w:rsidP="00C938A5">
            <w:pPr>
              <w:pStyle w:val="Default"/>
              <w:tabs>
                <w:tab w:val="left" w:pos="567"/>
              </w:tabs>
              <w:rPr>
                <w:rFonts w:ascii="Segoe UI" w:hAnsi="Segoe UI" w:cs="Segoe UI"/>
                <w:b/>
                <w:bCs/>
                <w:color w:val="auto"/>
                <w:sz w:val="20"/>
                <w:szCs w:val="20"/>
              </w:rPr>
            </w:pPr>
            <w:r w:rsidRPr="00E81AFB">
              <w:rPr>
                <w:rFonts w:ascii="Segoe UI" w:hAnsi="Segoe UI" w:cs="Segoe UI"/>
                <w:b/>
                <w:bCs/>
                <w:color w:val="auto"/>
                <w:sz w:val="20"/>
                <w:szCs w:val="20"/>
              </w:rPr>
              <w:t>Scenario</w:t>
            </w:r>
          </w:p>
        </w:tc>
        <w:tc>
          <w:tcPr>
            <w:tcW w:w="1559" w:type="dxa"/>
            <w:tcBorders>
              <w:top w:val="single" w:sz="4" w:space="0" w:color="auto"/>
              <w:left w:val="single" w:sz="4" w:space="0" w:color="auto"/>
              <w:bottom w:val="single" w:sz="4" w:space="0" w:color="auto"/>
              <w:right w:val="single" w:sz="4" w:space="0" w:color="auto"/>
            </w:tcBorders>
          </w:tcPr>
          <w:p w:rsidR="00664B0C" w:rsidRPr="00E81AFB" w:rsidRDefault="00664B0C" w:rsidP="00B22D51">
            <w:pPr>
              <w:pStyle w:val="Default"/>
              <w:tabs>
                <w:tab w:val="left" w:pos="567"/>
              </w:tabs>
              <w:rPr>
                <w:rFonts w:ascii="Segoe UI" w:hAnsi="Segoe UI" w:cs="Segoe UI"/>
                <w:b/>
                <w:bCs/>
                <w:color w:val="auto"/>
                <w:sz w:val="20"/>
                <w:szCs w:val="20"/>
              </w:rPr>
            </w:pPr>
            <w:r w:rsidRPr="00E81AFB">
              <w:rPr>
                <w:rFonts w:ascii="Segoe UI" w:hAnsi="Segoe UI" w:cs="Segoe UI"/>
                <w:b/>
                <w:bCs/>
                <w:color w:val="auto"/>
                <w:sz w:val="20"/>
                <w:szCs w:val="20"/>
              </w:rPr>
              <w:t>Date</w:t>
            </w:r>
          </w:p>
        </w:tc>
        <w:tc>
          <w:tcPr>
            <w:tcW w:w="3410" w:type="dxa"/>
            <w:tcBorders>
              <w:top w:val="single" w:sz="4" w:space="0" w:color="auto"/>
              <w:left w:val="single" w:sz="4" w:space="0" w:color="auto"/>
              <w:bottom w:val="single" w:sz="4" w:space="0" w:color="auto"/>
              <w:right w:val="single" w:sz="4" w:space="0" w:color="auto"/>
            </w:tcBorders>
          </w:tcPr>
          <w:p w:rsidR="00664B0C" w:rsidRPr="00E81AFB" w:rsidRDefault="00664B0C" w:rsidP="00B22D51">
            <w:pPr>
              <w:pStyle w:val="Default"/>
              <w:tabs>
                <w:tab w:val="left" w:pos="567"/>
              </w:tabs>
              <w:rPr>
                <w:rFonts w:ascii="Segoe UI" w:hAnsi="Segoe UI" w:cs="Segoe UI"/>
                <w:b/>
                <w:bCs/>
                <w:color w:val="auto"/>
                <w:sz w:val="20"/>
                <w:szCs w:val="20"/>
              </w:rPr>
            </w:pPr>
            <w:r w:rsidRPr="00E81AFB">
              <w:rPr>
                <w:rFonts w:ascii="Segoe UI" w:hAnsi="Segoe UI" w:cs="Segoe UI"/>
                <w:b/>
                <w:bCs/>
                <w:color w:val="auto"/>
                <w:sz w:val="20"/>
                <w:szCs w:val="20"/>
              </w:rPr>
              <w:t>Participants</w:t>
            </w:r>
          </w:p>
        </w:tc>
      </w:tr>
      <w:tr w:rsidR="00664B0C" w:rsidRPr="00E81AFB" w:rsidTr="003E66D8">
        <w:tc>
          <w:tcPr>
            <w:tcW w:w="1702" w:type="dxa"/>
            <w:tcBorders>
              <w:top w:val="single" w:sz="4" w:space="0" w:color="auto"/>
              <w:left w:val="single" w:sz="4" w:space="0" w:color="auto"/>
              <w:bottom w:val="single" w:sz="4" w:space="0" w:color="auto"/>
            </w:tcBorders>
          </w:tcPr>
          <w:p w:rsidR="00664B0C" w:rsidRPr="00E81AFB" w:rsidRDefault="00664B0C" w:rsidP="00EF4DAB">
            <w:pPr>
              <w:pStyle w:val="Default"/>
              <w:tabs>
                <w:tab w:val="left" w:pos="567"/>
              </w:tabs>
              <w:rPr>
                <w:rFonts w:ascii="Segoe UI" w:hAnsi="Segoe UI" w:cs="Segoe UI"/>
                <w:bCs/>
                <w:color w:val="auto"/>
                <w:sz w:val="20"/>
                <w:szCs w:val="20"/>
              </w:rPr>
            </w:pPr>
            <w:r w:rsidRPr="00E81AFB">
              <w:rPr>
                <w:rFonts w:ascii="Segoe UI" w:hAnsi="Segoe UI" w:cs="Segoe UI"/>
                <w:bCs/>
                <w:color w:val="auto"/>
                <w:sz w:val="20"/>
                <w:szCs w:val="20"/>
              </w:rPr>
              <w:t>Communications cascade</w:t>
            </w:r>
          </w:p>
        </w:tc>
        <w:tc>
          <w:tcPr>
            <w:tcW w:w="3118" w:type="dxa"/>
            <w:tcBorders>
              <w:top w:val="single" w:sz="4" w:space="0" w:color="auto"/>
              <w:left w:val="single" w:sz="4" w:space="0" w:color="auto"/>
              <w:bottom w:val="single" w:sz="4" w:space="0" w:color="auto"/>
            </w:tcBorders>
          </w:tcPr>
          <w:p w:rsidR="00664B0C" w:rsidRPr="00E81AFB" w:rsidRDefault="00664B0C" w:rsidP="00C938A5">
            <w:pPr>
              <w:pStyle w:val="Default"/>
              <w:tabs>
                <w:tab w:val="left" w:pos="567"/>
              </w:tabs>
              <w:rPr>
                <w:rFonts w:ascii="Segoe UI" w:hAnsi="Segoe UI" w:cs="Segoe UI"/>
                <w:bCs/>
                <w:color w:val="auto"/>
                <w:sz w:val="20"/>
                <w:szCs w:val="20"/>
              </w:rPr>
            </w:pPr>
            <w:r w:rsidRPr="00E81AFB">
              <w:rPr>
                <w:rFonts w:ascii="Segoe UI" w:hAnsi="Segoe UI" w:cs="Segoe UI"/>
                <w:bCs/>
                <w:color w:val="auto"/>
                <w:sz w:val="20"/>
                <w:szCs w:val="20"/>
              </w:rPr>
              <w:t>Communications</w:t>
            </w:r>
          </w:p>
        </w:tc>
        <w:tc>
          <w:tcPr>
            <w:tcW w:w="1559" w:type="dxa"/>
            <w:tcBorders>
              <w:top w:val="single" w:sz="4" w:space="0" w:color="auto"/>
              <w:left w:val="single" w:sz="4" w:space="0" w:color="auto"/>
              <w:bottom w:val="single" w:sz="4" w:space="0" w:color="auto"/>
              <w:right w:val="single" w:sz="4" w:space="0" w:color="auto"/>
            </w:tcBorders>
          </w:tcPr>
          <w:p w:rsidR="00664B0C" w:rsidRPr="00E81AFB" w:rsidRDefault="00664B0C" w:rsidP="00122D47">
            <w:pPr>
              <w:pStyle w:val="Default"/>
              <w:tabs>
                <w:tab w:val="left" w:pos="567"/>
              </w:tabs>
              <w:rPr>
                <w:rFonts w:ascii="Segoe UI" w:hAnsi="Segoe UI" w:cs="Segoe UI"/>
                <w:bCs/>
                <w:color w:val="auto"/>
                <w:sz w:val="20"/>
                <w:szCs w:val="20"/>
              </w:rPr>
            </w:pPr>
            <w:r w:rsidRPr="00E81AFB">
              <w:rPr>
                <w:rFonts w:ascii="Segoe UI" w:hAnsi="Segoe UI" w:cs="Segoe UI"/>
                <w:bCs/>
                <w:color w:val="auto"/>
                <w:sz w:val="20"/>
                <w:szCs w:val="20"/>
              </w:rPr>
              <w:t>October 2014</w:t>
            </w:r>
          </w:p>
          <w:p w:rsidR="00664B0C" w:rsidRPr="00E81AFB" w:rsidRDefault="00664B0C" w:rsidP="00122D47">
            <w:pPr>
              <w:pStyle w:val="Default"/>
              <w:tabs>
                <w:tab w:val="left" w:pos="567"/>
              </w:tabs>
              <w:rPr>
                <w:rFonts w:ascii="Segoe UI" w:hAnsi="Segoe UI" w:cs="Segoe UI"/>
                <w:bCs/>
                <w:color w:val="auto"/>
                <w:sz w:val="20"/>
                <w:szCs w:val="20"/>
              </w:rPr>
            </w:pPr>
            <w:r w:rsidRPr="00E81AFB">
              <w:rPr>
                <w:rFonts w:ascii="Segoe UI" w:hAnsi="Segoe UI" w:cs="Segoe UI"/>
                <w:bCs/>
                <w:color w:val="auto"/>
                <w:sz w:val="20"/>
                <w:szCs w:val="20"/>
              </w:rPr>
              <w:t>March 2015</w:t>
            </w:r>
          </w:p>
        </w:tc>
        <w:tc>
          <w:tcPr>
            <w:tcW w:w="3410" w:type="dxa"/>
            <w:tcBorders>
              <w:top w:val="single" w:sz="4" w:space="0" w:color="auto"/>
              <w:left w:val="single" w:sz="4" w:space="0" w:color="auto"/>
              <w:bottom w:val="single" w:sz="4" w:space="0" w:color="auto"/>
              <w:right w:val="single" w:sz="4" w:space="0" w:color="auto"/>
            </w:tcBorders>
          </w:tcPr>
          <w:p w:rsidR="00664B0C" w:rsidRPr="00E81AFB" w:rsidRDefault="00664B0C" w:rsidP="00584B57">
            <w:pPr>
              <w:pStyle w:val="Default"/>
              <w:tabs>
                <w:tab w:val="left" w:pos="567"/>
              </w:tabs>
              <w:rPr>
                <w:rFonts w:ascii="Segoe UI" w:hAnsi="Segoe UI" w:cs="Segoe UI"/>
                <w:bCs/>
                <w:color w:val="auto"/>
                <w:sz w:val="20"/>
                <w:szCs w:val="20"/>
              </w:rPr>
            </w:pPr>
            <w:r w:rsidRPr="00E81AFB">
              <w:rPr>
                <w:rFonts w:ascii="Segoe UI" w:hAnsi="Segoe UI" w:cs="Segoe UI"/>
                <w:bCs/>
                <w:color w:val="auto"/>
                <w:sz w:val="20"/>
                <w:szCs w:val="20"/>
              </w:rPr>
              <w:t>Multi-agency</w:t>
            </w:r>
          </w:p>
        </w:tc>
      </w:tr>
      <w:tr w:rsidR="00E357DA" w:rsidRPr="00E81AFB" w:rsidTr="003E66D8">
        <w:trPr>
          <w:trHeight w:val="192"/>
        </w:trPr>
        <w:tc>
          <w:tcPr>
            <w:tcW w:w="1702" w:type="dxa"/>
            <w:vMerge w:val="restart"/>
            <w:tcBorders>
              <w:left w:val="single" w:sz="4" w:space="0" w:color="auto"/>
            </w:tcBorders>
          </w:tcPr>
          <w:p w:rsidR="00E357DA" w:rsidRPr="00E81AFB" w:rsidRDefault="00E357DA" w:rsidP="001C4BD8">
            <w:pPr>
              <w:pStyle w:val="Default"/>
              <w:tabs>
                <w:tab w:val="left" w:pos="567"/>
              </w:tabs>
              <w:rPr>
                <w:rFonts w:ascii="Segoe UI" w:hAnsi="Segoe UI" w:cs="Segoe UI"/>
                <w:bCs/>
                <w:color w:val="auto"/>
                <w:sz w:val="20"/>
                <w:szCs w:val="20"/>
              </w:rPr>
            </w:pPr>
            <w:r w:rsidRPr="00E81AFB">
              <w:rPr>
                <w:rFonts w:ascii="Segoe UI" w:hAnsi="Segoe UI" w:cs="Segoe UI"/>
                <w:bCs/>
                <w:color w:val="auto"/>
                <w:sz w:val="20"/>
                <w:szCs w:val="20"/>
              </w:rPr>
              <w:t>Live exercise</w:t>
            </w:r>
          </w:p>
          <w:p w:rsidR="00E357DA" w:rsidRPr="00E81AFB" w:rsidRDefault="00E357DA" w:rsidP="00DD11A3">
            <w:pPr>
              <w:pStyle w:val="Default"/>
              <w:tabs>
                <w:tab w:val="left" w:pos="567"/>
              </w:tabs>
              <w:rPr>
                <w:rFonts w:ascii="Segoe UI" w:hAnsi="Segoe UI" w:cs="Segoe UI"/>
                <w:bCs/>
                <w:color w:val="auto"/>
                <w:sz w:val="20"/>
                <w:szCs w:val="20"/>
              </w:rPr>
            </w:pPr>
          </w:p>
        </w:tc>
        <w:tc>
          <w:tcPr>
            <w:tcW w:w="3118" w:type="dxa"/>
            <w:tcBorders>
              <w:left w:val="single" w:sz="4" w:space="0" w:color="auto"/>
              <w:bottom w:val="single" w:sz="4" w:space="0" w:color="auto"/>
            </w:tcBorders>
          </w:tcPr>
          <w:p w:rsidR="00E357DA" w:rsidRPr="00E81AFB" w:rsidRDefault="009D293E" w:rsidP="001C4BD8">
            <w:pPr>
              <w:pStyle w:val="Default"/>
              <w:tabs>
                <w:tab w:val="left" w:pos="567"/>
              </w:tabs>
              <w:rPr>
                <w:rFonts w:ascii="Segoe UI" w:hAnsi="Segoe UI" w:cs="Segoe UI"/>
                <w:bCs/>
                <w:color w:val="auto"/>
                <w:sz w:val="20"/>
                <w:szCs w:val="20"/>
              </w:rPr>
            </w:pPr>
            <w:r>
              <w:rPr>
                <w:rFonts w:ascii="Segoe UI" w:hAnsi="Segoe UI" w:cs="Segoe UI"/>
                <w:bCs/>
                <w:color w:val="auto"/>
                <w:sz w:val="20"/>
                <w:szCs w:val="20"/>
              </w:rPr>
              <w:t>Business continuity -</w:t>
            </w:r>
            <w:r w:rsidR="00E357DA" w:rsidRPr="00E81AFB">
              <w:rPr>
                <w:rFonts w:ascii="Segoe UI" w:hAnsi="Segoe UI" w:cs="Segoe UI"/>
                <w:bCs/>
                <w:color w:val="auto"/>
                <w:sz w:val="20"/>
                <w:szCs w:val="20"/>
              </w:rPr>
              <w:t xml:space="preserve"> power failure</w:t>
            </w:r>
          </w:p>
        </w:tc>
        <w:tc>
          <w:tcPr>
            <w:tcW w:w="1559" w:type="dxa"/>
            <w:tcBorders>
              <w:top w:val="single" w:sz="4" w:space="0" w:color="auto"/>
              <w:left w:val="single" w:sz="4" w:space="0" w:color="auto"/>
              <w:bottom w:val="single" w:sz="4" w:space="0" w:color="auto"/>
              <w:right w:val="single" w:sz="4" w:space="0" w:color="auto"/>
            </w:tcBorders>
          </w:tcPr>
          <w:p w:rsidR="00E357DA" w:rsidRPr="00E81AFB" w:rsidRDefault="003327D7" w:rsidP="001C4BD8">
            <w:pPr>
              <w:pStyle w:val="Default"/>
              <w:tabs>
                <w:tab w:val="left" w:pos="567"/>
              </w:tabs>
              <w:rPr>
                <w:rFonts w:ascii="Segoe UI" w:hAnsi="Segoe UI" w:cs="Segoe UI"/>
                <w:bCs/>
                <w:color w:val="auto"/>
                <w:sz w:val="20"/>
                <w:szCs w:val="20"/>
              </w:rPr>
            </w:pPr>
            <w:r>
              <w:rPr>
                <w:rFonts w:ascii="Segoe UI" w:hAnsi="Segoe UI" w:cs="Segoe UI"/>
                <w:bCs/>
                <w:color w:val="auto"/>
                <w:sz w:val="20"/>
                <w:szCs w:val="20"/>
              </w:rPr>
              <w:t>February 2015</w:t>
            </w:r>
          </w:p>
        </w:tc>
        <w:tc>
          <w:tcPr>
            <w:tcW w:w="3410" w:type="dxa"/>
            <w:tcBorders>
              <w:top w:val="single" w:sz="4" w:space="0" w:color="auto"/>
              <w:left w:val="single" w:sz="4" w:space="0" w:color="auto"/>
              <w:bottom w:val="single" w:sz="4" w:space="0" w:color="auto"/>
              <w:right w:val="single" w:sz="4" w:space="0" w:color="auto"/>
            </w:tcBorders>
          </w:tcPr>
          <w:p w:rsidR="00E357DA" w:rsidRPr="00E81AFB" w:rsidRDefault="00E357DA" w:rsidP="009D293E">
            <w:pPr>
              <w:pStyle w:val="Default"/>
              <w:tabs>
                <w:tab w:val="left" w:pos="567"/>
              </w:tabs>
              <w:rPr>
                <w:rFonts w:ascii="Segoe UI" w:hAnsi="Segoe UI" w:cs="Segoe UI"/>
                <w:bCs/>
                <w:color w:val="auto"/>
                <w:sz w:val="20"/>
                <w:szCs w:val="20"/>
              </w:rPr>
            </w:pPr>
            <w:r w:rsidRPr="00E81AFB">
              <w:rPr>
                <w:rFonts w:ascii="Segoe UI" w:hAnsi="Segoe UI" w:cs="Segoe UI"/>
                <w:bCs/>
                <w:color w:val="auto"/>
                <w:sz w:val="20"/>
                <w:szCs w:val="20"/>
              </w:rPr>
              <w:t xml:space="preserve">Pharmacy department </w:t>
            </w:r>
            <w:r w:rsidR="009D293E">
              <w:rPr>
                <w:rFonts w:ascii="Segoe UI" w:hAnsi="Segoe UI" w:cs="Segoe UI"/>
                <w:bCs/>
                <w:color w:val="auto"/>
                <w:sz w:val="20"/>
                <w:szCs w:val="20"/>
              </w:rPr>
              <w:t>and the estates and f</w:t>
            </w:r>
            <w:r w:rsidRPr="00E81AFB">
              <w:rPr>
                <w:rFonts w:ascii="Segoe UI" w:hAnsi="Segoe UI" w:cs="Segoe UI"/>
                <w:bCs/>
                <w:color w:val="auto"/>
                <w:sz w:val="20"/>
                <w:szCs w:val="20"/>
              </w:rPr>
              <w:t>acilities</w:t>
            </w:r>
            <w:r w:rsidR="009D293E">
              <w:rPr>
                <w:rFonts w:ascii="Segoe UI" w:hAnsi="Segoe UI" w:cs="Segoe UI"/>
                <w:bCs/>
                <w:color w:val="auto"/>
                <w:sz w:val="20"/>
                <w:szCs w:val="20"/>
              </w:rPr>
              <w:t xml:space="preserve"> department</w:t>
            </w:r>
          </w:p>
        </w:tc>
      </w:tr>
      <w:tr w:rsidR="00E357DA" w:rsidRPr="00E81AFB" w:rsidTr="000C73B6">
        <w:trPr>
          <w:trHeight w:val="192"/>
        </w:trPr>
        <w:tc>
          <w:tcPr>
            <w:tcW w:w="1702" w:type="dxa"/>
            <w:vMerge/>
            <w:tcBorders>
              <w:left w:val="single" w:sz="4" w:space="0" w:color="auto"/>
              <w:bottom w:val="single" w:sz="4" w:space="0" w:color="auto"/>
            </w:tcBorders>
          </w:tcPr>
          <w:p w:rsidR="00E357DA" w:rsidRPr="00E81AFB" w:rsidRDefault="00E357DA" w:rsidP="00DD11A3">
            <w:pPr>
              <w:pStyle w:val="Default"/>
              <w:tabs>
                <w:tab w:val="left" w:pos="567"/>
              </w:tabs>
              <w:rPr>
                <w:rFonts w:ascii="Segoe UI" w:hAnsi="Segoe UI" w:cs="Segoe UI"/>
                <w:bCs/>
                <w:color w:val="auto"/>
                <w:sz w:val="20"/>
                <w:szCs w:val="20"/>
              </w:rPr>
            </w:pPr>
          </w:p>
        </w:tc>
        <w:tc>
          <w:tcPr>
            <w:tcW w:w="3118" w:type="dxa"/>
            <w:tcBorders>
              <w:left w:val="single" w:sz="4" w:space="0" w:color="auto"/>
              <w:bottom w:val="single" w:sz="4" w:space="0" w:color="auto"/>
            </w:tcBorders>
          </w:tcPr>
          <w:p w:rsidR="00E357DA" w:rsidRPr="00E81AFB" w:rsidRDefault="00E357DA" w:rsidP="009D293E">
            <w:pPr>
              <w:pStyle w:val="Default"/>
              <w:tabs>
                <w:tab w:val="left" w:pos="567"/>
              </w:tabs>
              <w:rPr>
                <w:rFonts w:ascii="Segoe UI" w:hAnsi="Segoe UI" w:cs="Segoe UI"/>
                <w:bCs/>
                <w:color w:val="auto"/>
                <w:sz w:val="20"/>
                <w:szCs w:val="20"/>
              </w:rPr>
            </w:pPr>
            <w:r w:rsidRPr="00E81AFB">
              <w:rPr>
                <w:rFonts w:ascii="Segoe UI" w:hAnsi="Segoe UI" w:cs="Segoe UI"/>
                <w:bCs/>
                <w:color w:val="auto"/>
                <w:sz w:val="20"/>
                <w:szCs w:val="20"/>
              </w:rPr>
              <w:t>Business continuity</w:t>
            </w:r>
            <w:r w:rsidR="009D293E">
              <w:rPr>
                <w:rFonts w:ascii="Segoe UI" w:hAnsi="Segoe UI" w:cs="Segoe UI"/>
                <w:bCs/>
                <w:color w:val="auto"/>
                <w:sz w:val="20"/>
                <w:szCs w:val="20"/>
              </w:rPr>
              <w:t xml:space="preserve"> - </w:t>
            </w:r>
            <w:r w:rsidRPr="00E81AFB">
              <w:rPr>
                <w:rFonts w:ascii="Segoe UI" w:hAnsi="Segoe UI" w:cs="Segoe UI"/>
                <w:bCs/>
                <w:color w:val="auto"/>
                <w:sz w:val="20"/>
                <w:szCs w:val="20"/>
              </w:rPr>
              <w:t>water supply interruption</w:t>
            </w:r>
          </w:p>
        </w:tc>
        <w:tc>
          <w:tcPr>
            <w:tcW w:w="1559" w:type="dxa"/>
            <w:tcBorders>
              <w:top w:val="single" w:sz="4" w:space="0" w:color="auto"/>
              <w:left w:val="single" w:sz="4" w:space="0" w:color="auto"/>
              <w:bottom w:val="single" w:sz="4" w:space="0" w:color="auto"/>
              <w:right w:val="single" w:sz="4" w:space="0" w:color="auto"/>
            </w:tcBorders>
          </w:tcPr>
          <w:p w:rsidR="00E357DA" w:rsidRPr="00E81AFB" w:rsidRDefault="00E357DA" w:rsidP="001C4BD8">
            <w:pPr>
              <w:pStyle w:val="Default"/>
              <w:tabs>
                <w:tab w:val="left" w:pos="567"/>
              </w:tabs>
              <w:rPr>
                <w:rFonts w:ascii="Segoe UI" w:hAnsi="Segoe UI" w:cs="Segoe UI"/>
                <w:bCs/>
                <w:color w:val="auto"/>
                <w:sz w:val="20"/>
                <w:szCs w:val="20"/>
              </w:rPr>
            </w:pPr>
            <w:r w:rsidRPr="00E81AFB">
              <w:rPr>
                <w:rFonts w:ascii="Segoe UI" w:hAnsi="Segoe UI" w:cs="Segoe UI"/>
                <w:bCs/>
                <w:color w:val="auto"/>
                <w:sz w:val="20"/>
                <w:szCs w:val="20"/>
              </w:rPr>
              <w:t>March 2015</w:t>
            </w:r>
          </w:p>
        </w:tc>
        <w:tc>
          <w:tcPr>
            <w:tcW w:w="3410" w:type="dxa"/>
            <w:tcBorders>
              <w:top w:val="single" w:sz="4" w:space="0" w:color="auto"/>
              <w:left w:val="single" w:sz="4" w:space="0" w:color="auto"/>
              <w:bottom w:val="single" w:sz="4" w:space="0" w:color="auto"/>
              <w:right w:val="single" w:sz="4" w:space="0" w:color="auto"/>
            </w:tcBorders>
          </w:tcPr>
          <w:p w:rsidR="00E357DA" w:rsidRPr="00E81AFB" w:rsidRDefault="00E357DA" w:rsidP="001C4BD8">
            <w:pPr>
              <w:pStyle w:val="Default"/>
              <w:tabs>
                <w:tab w:val="left" w:pos="567"/>
              </w:tabs>
              <w:rPr>
                <w:rFonts w:ascii="Segoe UI" w:hAnsi="Segoe UI" w:cs="Segoe UI"/>
                <w:bCs/>
                <w:color w:val="auto"/>
                <w:sz w:val="20"/>
                <w:szCs w:val="20"/>
              </w:rPr>
            </w:pPr>
            <w:r w:rsidRPr="00E81AFB">
              <w:rPr>
                <w:rFonts w:ascii="Segoe UI" w:hAnsi="Segoe UI" w:cs="Segoe UI"/>
                <w:bCs/>
                <w:color w:val="auto"/>
                <w:sz w:val="20"/>
                <w:szCs w:val="20"/>
              </w:rPr>
              <w:t>All staff members and patients at Warneford Hospital site</w:t>
            </w:r>
          </w:p>
        </w:tc>
      </w:tr>
      <w:tr w:rsidR="00135A0B" w:rsidRPr="00E81AFB" w:rsidTr="000C73B6">
        <w:tc>
          <w:tcPr>
            <w:tcW w:w="1702" w:type="dxa"/>
            <w:vMerge w:val="restart"/>
            <w:tcBorders>
              <w:top w:val="single" w:sz="4" w:space="0" w:color="auto"/>
              <w:left w:val="single" w:sz="4" w:space="0" w:color="auto"/>
              <w:bottom w:val="single" w:sz="4" w:space="0" w:color="auto"/>
            </w:tcBorders>
          </w:tcPr>
          <w:p w:rsidR="00135A0B" w:rsidRPr="00E81AFB" w:rsidRDefault="00135A0B" w:rsidP="009D3CCD">
            <w:pPr>
              <w:pStyle w:val="Default"/>
              <w:tabs>
                <w:tab w:val="left" w:pos="567"/>
              </w:tabs>
              <w:rPr>
                <w:rFonts w:ascii="Segoe UI" w:hAnsi="Segoe UI" w:cs="Segoe UI"/>
                <w:bCs/>
                <w:color w:val="auto"/>
                <w:sz w:val="20"/>
                <w:szCs w:val="20"/>
              </w:rPr>
            </w:pPr>
            <w:r w:rsidRPr="00E81AFB">
              <w:rPr>
                <w:rFonts w:ascii="Segoe UI" w:hAnsi="Segoe UI" w:cs="Segoe UI"/>
                <w:bCs/>
                <w:color w:val="auto"/>
                <w:sz w:val="20"/>
                <w:szCs w:val="20"/>
              </w:rPr>
              <w:t>Table top exercise</w:t>
            </w:r>
          </w:p>
        </w:tc>
        <w:tc>
          <w:tcPr>
            <w:tcW w:w="3118" w:type="dxa"/>
            <w:tcBorders>
              <w:left w:val="single" w:sz="4" w:space="0" w:color="auto"/>
              <w:bottom w:val="single" w:sz="4" w:space="0" w:color="auto"/>
            </w:tcBorders>
            <w:vAlign w:val="center"/>
          </w:tcPr>
          <w:p w:rsidR="00135A0B" w:rsidRPr="00E81AFB" w:rsidRDefault="00135A0B" w:rsidP="00C938A5">
            <w:pPr>
              <w:pStyle w:val="Default"/>
              <w:tabs>
                <w:tab w:val="left" w:pos="567"/>
              </w:tabs>
              <w:rPr>
                <w:rFonts w:ascii="Segoe UI" w:hAnsi="Segoe UI" w:cs="Segoe UI"/>
                <w:bCs/>
                <w:color w:val="auto"/>
                <w:sz w:val="20"/>
                <w:szCs w:val="20"/>
              </w:rPr>
            </w:pPr>
            <w:r w:rsidRPr="00E81AFB">
              <w:rPr>
                <w:rFonts w:ascii="Segoe UI" w:hAnsi="Segoe UI" w:cs="Segoe UI"/>
                <w:bCs/>
                <w:color w:val="auto"/>
                <w:sz w:val="20"/>
                <w:szCs w:val="20"/>
              </w:rPr>
              <w:t>Flu pandemic</w:t>
            </w:r>
          </w:p>
        </w:tc>
        <w:tc>
          <w:tcPr>
            <w:tcW w:w="1559" w:type="dxa"/>
            <w:tcBorders>
              <w:top w:val="single" w:sz="4" w:space="0" w:color="auto"/>
              <w:left w:val="single" w:sz="4" w:space="0" w:color="auto"/>
              <w:bottom w:val="single" w:sz="4" w:space="0" w:color="auto"/>
              <w:right w:val="single" w:sz="4" w:space="0" w:color="auto"/>
            </w:tcBorders>
          </w:tcPr>
          <w:p w:rsidR="00135A0B" w:rsidRPr="00E81AFB" w:rsidRDefault="003E66D8" w:rsidP="009D3CCD">
            <w:pPr>
              <w:pStyle w:val="Default"/>
              <w:tabs>
                <w:tab w:val="left" w:pos="567"/>
              </w:tabs>
              <w:rPr>
                <w:rFonts w:ascii="Segoe UI" w:hAnsi="Segoe UI" w:cs="Segoe UI"/>
                <w:bCs/>
                <w:color w:val="auto"/>
                <w:sz w:val="20"/>
                <w:szCs w:val="20"/>
              </w:rPr>
            </w:pPr>
            <w:r>
              <w:rPr>
                <w:rFonts w:ascii="Segoe UI" w:hAnsi="Segoe UI" w:cs="Segoe UI"/>
                <w:bCs/>
                <w:color w:val="auto"/>
                <w:sz w:val="20"/>
                <w:szCs w:val="20"/>
              </w:rPr>
              <w:t>July 2014</w:t>
            </w:r>
          </w:p>
        </w:tc>
        <w:tc>
          <w:tcPr>
            <w:tcW w:w="3410" w:type="dxa"/>
            <w:tcBorders>
              <w:top w:val="single" w:sz="4" w:space="0" w:color="auto"/>
              <w:left w:val="single" w:sz="4" w:space="0" w:color="auto"/>
              <w:bottom w:val="single" w:sz="4" w:space="0" w:color="auto"/>
              <w:right w:val="single" w:sz="4" w:space="0" w:color="auto"/>
            </w:tcBorders>
          </w:tcPr>
          <w:p w:rsidR="00135A0B" w:rsidRPr="00E81AFB" w:rsidRDefault="00135A0B" w:rsidP="009D3CCD">
            <w:pPr>
              <w:pStyle w:val="Default"/>
              <w:tabs>
                <w:tab w:val="left" w:pos="567"/>
              </w:tabs>
              <w:rPr>
                <w:rFonts w:ascii="Segoe UI" w:hAnsi="Segoe UI" w:cs="Segoe UI"/>
                <w:bCs/>
                <w:color w:val="auto"/>
                <w:sz w:val="20"/>
                <w:szCs w:val="20"/>
              </w:rPr>
            </w:pPr>
            <w:r w:rsidRPr="00E81AFB">
              <w:rPr>
                <w:rFonts w:ascii="Segoe UI" w:hAnsi="Segoe UI" w:cs="Segoe UI"/>
                <w:bCs/>
                <w:color w:val="auto"/>
                <w:sz w:val="20"/>
                <w:szCs w:val="20"/>
              </w:rPr>
              <w:t>Multi-agency</w:t>
            </w:r>
          </w:p>
        </w:tc>
      </w:tr>
      <w:tr w:rsidR="00135A0B" w:rsidRPr="00E81AFB" w:rsidTr="000C73B6">
        <w:tc>
          <w:tcPr>
            <w:tcW w:w="1702" w:type="dxa"/>
            <w:vMerge/>
            <w:tcBorders>
              <w:left w:val="single" w:sz="4" w:space="0" w:color="auto"/>
              <w:bottom w:val="single" w:sz="4" w:space="0" w:color="auto"/>
            </w:tcBorders>
          </w:tcPr>
          <w:p w:rsidR="00135A0B" w:rsidRPr="00E81AFB" w:rsidRDefault="00135A0B" w:rsidP="00EF4DAB">
            <w:pPr>
              <w:pStyle w:val="Default"/>
              <w:tabs>
                <w:tab w:val="left" w:pos="567"/>
              </w:tabs>
              <w:rPr>
                <w:rFonts w:ascii="Segoe UI" w:hAnsi="Segoe UI" w:cs="Segoe UI"/>
                <w:bCs/>
                <w:color w:val="FF0000"/>
                <w:sz w:val="20"/>
                <w:szCs w:val="20"/>
              </w:rPr>
            </w:pPr>
          </w:p>
        </w:tc>
        <w:tc>
          <w:tcPr>
            <w:tcW w:w="3118" w:type="dxa"/>
            <w:tcBorders>
              <w:top w:val="single" w:sz="4" w:space="0" w:color="auto"/>
              <w:left w:val="single" w:sz="4" w:space="0" w:color="auto"/>
              <w:bottom w:val="single" w:sz="4" w:space="0" w:color="auto"/>
            </w:tcBorders>
          </w:tcPr>
          <w:p w:rsidR="00135A0B" w:rsidRPr="00E81AFB" w:rsidRDefault="00135A0B" w:rsidP="00D26AC2">
            <w:pPr>
              <w:pStyle w:val="Default"/>
              <w:tabs>
                <w:tab w:val="left" w:pos="567"/>
              </w:tabs>
              <w:rPr>
                <w:rFonts w:ascii="Segoe UI" w:hAnsi="Segoe UI" w:cs="Segoe UI"/>
                <w:bCs/>
                <w:color w:val="auto"/>
                <w:sz w:val="20"/>
                <w:szCs w:val="20"/>
              </w:rPr>
            </w:pPr>
            <w:r w:rsidRPr="00E81AFB">
              <w:rPr>
                <w:rFonts w:ascii="Segoe UI" w:hAnsi="Segoe UI" w:cs="Segoe UI"/>
                <w:bCs/>
                <w:color w:val="auto"/>
                <w:sz w:val="20"/>
                <w:szCs w:val="20"/>
              </w:rPr>
              <w:t>Business continuity</w:t>
            </w:r>
            <w:r w:rsidR="00D26AC2">
              <w:rPr>
                <w:rFonts w:ascii="Segoe UI" w:hAnsi="Segoe UI" w:cs="Segoe UI"/>
                <w:bCs/>
                <w:color w:val="auto"/>
                <w:sz w:val="20"/>
                <w:szCs w:val="20"/>
              </w:rPr>
              <w:t xml:space="preserve"> (scenarios: flooding, fire, interruption to the  gas supply, water supply, power supply)</w:t>
            </w:r>
          </w:p>
        </w:tc>
        <w:tc>
          <w:tcPr>
            <w:tcW w:w="1559" w:type="dxa"/>
            <w:tcBorders>
              <w:top w:val="single" w:sz="4" w:space="0" w:color="auto"/>
              <w:left w:val="single" w:sz="4" w:space="0" w:color="auto"/>
              <w:bottom w:val="single" w:sz="4" w:space="0" w:color="auto"/>
              <w:right w:val="single" w:sz="4" w:space="0" w:color="auto"/>
            </w:tcBorders>
          </w:tcPr>
          <w:p w:rsidR="00135A0B" w:rsidRPr="00E81AFB" w:rsidRDefault="00135A0B" w:rsidP="009D293E">
            <w:pPr>
              <w:pStyle w:val="Default"/>
              <w:tabs>
                <w:tab w:val="left" w:pos="567"/>
              </w:tabs>
              <w:rPr>
                <w:rFonts w:ascii="Segoe UI" w:hAnsi="Segoe UI" w:cs="Segoe UI"/>
                <w:bCs/>
                <w:color w:val="auto"/>
                <w:sz w:val="20"/>
                <w:szCs w:val="20"/>
              </w:rPr>
            </w:pPr>
            <w:r w:rsidRPr="00E81AFB">
              <w:rPr>
                <w:rFonts w:ascii="Segoe UI" w:hAnsi="Segoe UI" w:cs="Segoe UI"/>
                <w:bCs/>
                <w:color w:val="auto"/>
                <w:sz w:val="20"/>
                <w:szCs w:val="20"/>
              </w:rPr>
              <w:t xml:space="preserve">July </w:t>
            </w:r>
            <w:r w:rsidR="003E66D8">
              <w:rPr>
                <w:rFonts w:ascii="Segoe UI" w:hAnsi="Segoe UI" w:cs="Segoe UI"/>
                <w:bCs/>
                <w:color w:val="auto"/>
                <w:sz w:val="20"/>
                <w:szCs w:val="20"/>
              </w:rPr>
              <w:t>2014</w:t>
            </w:r>
          </w:p>
        </w:tc>
        <w:tc>
          <w:tcPr>
            <w:tcW w:w="3410" w:type="dxa"/>
            <w:tcBorders>
              <w:top w:val="single" w:sz="4" w:space="0" w:color="auto"/>
              <w:left w:val="single" w:sz="4" w:space="0" w:color="auto"/>
              <w:bottom w:val="single" w:sz="4" w:space="0" w:color="auto"/>
              <w:right w:val="single" w:sz="4" w:space="0" w:color="auto"/>
            </w:tcBorders>
          </w:tcPr>
          <w:p w:rsidR="00135A0B" w:rsidRPr="00E81AFB" w:rsidRDefault="00135A0B" w:rsidP="00C03F04">
            <w:pPr>
              <w:pStyle w:val="Default"/>
              <w:tabs>
                <w:tab w:val="left" w:pos="567"/>
              </w:tabs>
              <w:rPr>
                <w:rFonts w:ascii="Segoe UI" w:hAnsi="Segoe UI" w:cs="Segoe UI"/>
                <w:bCs/>
                <w:color w:val="auto"/>
                <w:sz w:val="20"/>
                <w:szCs w:val="20"/>
              </w:rPr>
            </w:pPr>
            <w:r w:rsidRPr="00E81AFB">
              <w:rPr>
                <w:rFonts w:ascii="Segoe UI" w:hAnsi="Segoe UI" w:cs="Segoe UI"/>
                <w:bCs/>
                <w:color w:val="auto"/>
                <w:sz w:val="20"/>
                <w:szCs w:val="20"/>
              </w:rPr>
              <w:t>Estates and Facilities</w:t>
            </w:r>
          </w:p>
        </w:tc>
      </w:tr>
      <w:tr w:rsidR="00135A0B" w:rsidRPr="00E81AFB" w:rsidTr="000C73B6">
        <w:trPr>
          <w:trHeight w:val="192"/>
        </w:trPr>
        <w:tc>
          <w:tcPr>
            <w:tcW w:w="1702" w:type="dxa"/>
            <w:vMerge/>
            <w:tcBorders>
              <w:left w:val="single" w:sz="4" w:space="0" w:color="auto"/>
              <w:bottom w:val="single" w:sz="4" w:space="0" w:color="auto"/>
            </w:tcBorders>
          </w:tcPr>
          <w:p w:rsidR="00135A0B" w:rsidRPr="00E81AFB" w:rsidRDefault="00135A0B" w:rsidP="00EF4DAB">
            <w:pPr>
              <w:pStyle w:val="Default"/>
              <w:tabs>
                <w:tab w:val="left" w:pos="567"/>
              </w:tabs>
              <w:rPr>
                <w:rFonts w:ascii="Segoe UI" w:hAnsi="Segoe UI" w:cs="Segoe UI"/>
                <w:bCs/>
                <w:color w:val="auto"/>
                <w:sz w:val="20"/>
                <w:szCs w:val="20"/>
              </w:rPr>
            </w:pPr>
          </w:p>
        </w:tc>
        <w:tc>
          <w:tcPr>
            <w:tcW w:w="3118" w:type="dxa"/>
            <w:tcBorders>
              <w:left w:val="single" w:sz="4" w:space="0" w:color="auto"/>
              <w:bottom w:val="single" w:sz="4" w:space="0" w:color="auto"/>
            </w:tcBorders>
          </w:tcPr>
          <w:p w:rsidR="00135A0B" w:rsidRPr="00E81AFB" w:rsidRDefault="00135A0B" w:rsidP="00C938A5">
            <w:pPr>
              <w:pStyle w:val="Default"/>
              <w:tabs>
                <w:tab w:val="left" w:pos="567"/>
              </w:tabs>
              <w:rPr>
                <w:rFonts w:ascii="Segoe UI" w:hAnsi="Segoe UI" w:cs="Segoe UI"/>
                <w:bCs/>
                <w:color w:val="auto"/>
                <w:sz w:val="20"/>
                <w:szCs w:val="20"/>
              </w:rPr>
            </w:pPr>
            <w:r w:rsidRPr="00E81AFB">
              <w:rPr>
                <w:rFonts w:ascii="Segoe UI" w:hAnsi="Segoe UI" w:cs="Segoe UI"/>
                <w:bCs/>
                <w:color w:val="auto"/>
                <w:sz w:val="20"/>
                <w:szCs w:val="20"/>
              </w:rPr>
              <w:t>Ebola</w:t>
            </w:r>
          </w:p>
        </w:tc>
        <w:tc>
          <w:tcPr>
            <w:tcW w:w="1559" w:type="dxa"/>
            <w:tcBorders>
              <w:top w:val="single" w:sz="4" w:space="0" w:color="auto"/>
              <w:left w:val="single" w:sz="4" w:space="0" w:color="auto"/>
              <w:bottom w:val="single" w:sz="4" w:space="0" w:color="auto"/>
              <w:right w:val="single" w:sz="4" w:space="0" w:color="auto"/>
            </w:tcBorders>
          </w:tcPr>
          <w:p w:rsidR="00135A0B" w:rsidRPr="00E81AFB" w:rsidRDefault="00135A0B" w:rsidP="001C4BD8">
            <w:pPr>
              <w:pStyle w:val="Default"/>
              <w:tabs>
                <w:tab w:val="left" w:pos="567"/>
              </w:tabs>
              <w:rPr>
                <w:rFonts w:ascii="Segoe UI" w:hAnsi="Segoe UI" w:cs="Segoe UI"/>
                <w:bCs/>
                <w:color w:val="auto"/>
                <w:sz w:val="20"/>
                <w:szCs w:val="20"/>
              </w:rPr>
            </w:pPr>
            <w:r w:rsidRPr="00E81AFB">
              <w:rPr>
                <w:rFonts w:ascii="Segoe UI" w:hAnsi="Segoe UI" w:cs="Segoe UI"/>
                <w:bCs/>
                <w:color w:val="auto"/>
                <w:sz w:val="20"/>
                <w:szCs w:val="20"/>
              </w:rPr>
              <w:t>October 2014</w:t>
            </w:r>
          </w:p>
        </w:tc>
        <w:tc>
          <w:tcPr>
            <w:tcW w:w="3410" w:type="dxa"/>
            <w:tcBorders>
              <w:top w:val="single" w:sz="4" w:space="0" w:color="auto"/>
              <w:left w:val="single" w:sz="4" w:space="0" w:color="auto"/>
              <w:bottom w:val="single" w:sz="4" w:space="0" w:color="auto"/>
              <w:right w:val="single" w:sz="4" w:space="0" w:color="auto"/>
            </w:tcBorders>
          </w:tcPr>
          <w:p w:rsidR="00135A0B" w:rsidRPr="00E81AFB" w:rsidRDefault="00135A0B" w:rsidP="001C4BD8">
            <w:pPr>
              <w:pStyle w:val="Default"/>
              <w:tabs>
                <w:tab w:val="left" w:pos="567"/>
              </w:tabs>
              <w:rPr>
                <w:rFonts w:ascii="Segoe UI" w:hAnsi="Segoe UI" w:cs="Segoe UI"/>
                <w:bCs/>
                <w:color w:val="auto"/>
                <w:sz w:val="20"/>
                <w:szCs w:val="20"/>
              </w:rPr>
            </w:pPr>
            <w:r w:rsidRPr="00E81AFB">
              <w:rPr>
                <w:rFonts w:ascii="Segoe UI" w:hAnsi="Segoe UI" w:cs="Segoe UI"/>
                <w:bCs/>
                <w:color w:val="auto"/>
                <w:sz w:val="20"/>
                <w:szCs w:val="20"/>
              </w:rPr>
              <w:t>Urgent Care</w:t>
            </w:r>
          </w:p>
          <w:p w:rsidR="00135A0B" w:rsidRPr="00E81AFB" w:rsidRDefault="00135A0B" w:rsidP="001C4BD8">
            <w:pPr>
              <w:pStyle w:val="Default"/>
              <w:tabs>
                <w:tab w:val="left" w:pos="567"/>
              </w:tabs>
              <w:rPr>
                <w:rFonts w:ascii="Segoe UI" w:hAnsi="Segoe UI" w:cs="Segoe UI"/>
                <w:bCs/>
                <w:color w:val="auto"/>
                <w:sz w:val="20"/>
                <w:szCs w:val="20"/>
              </w:rPr>
            </w:pPr>
            <w:r w:rsidRPr="00E81AFB">
              <w:rPr>
                <w:rFonts w:ascii="Segoe UI" w:hAnsi="Segoe UI" w:cs="Segoe UI"/>
                <w:bCs/>
                <w:color w:val="auto"/>
                <w:sz w:val="20"/>
                <w:szCs w:val="20"/>
              </w:rPr>
              <w:t xml:space="preserve">Dental </w:t>
            </w:r>
          </w:p>
          <w:p w:rsidR="00135A0B" w:rsidRPr="00E81AFB" w:rsidRDefault="00135A0B" w:rsidP="001C4BD8">
            <w:pPr>
              <w:pStyle w:val="Default"/>
              <w:tabs>
                <w:tab w:val="left" w:pos="567"/>
              </w:tabs>
              <w:rPr>
                <w:rFonts w:ascii="Segoe UI" w:hAnsi="Segoe UI" w:cs="Segoe UI"/>
                <w:bCs/>
                <w:color w:val="auto"/>
                <w:sz w:val="20"/>
                <w:szCs w:val="20"/>
              </w:rPr>
            </w:pPr>
            <w:r w:rsidRPr="00E81AFB">
              <w:rPr>
                <w:rFonts w:ascii="Segoe UI" w:hAnsi="Segoe UI" w:cs="Segoe UI"/>
                <w:bCs/>
                <w:color w:val="auto"/>
                <w:sz w:val="20"/>
                <w:szCs w:val="20"/>
              </w:rPr>
              <w:t>Infection control</w:t>
            </w:r>
          </w:p>
          <w:p w:rsidR="00135A0B" w:rsidRPr="00E81AFB" w:rsidRDefault="00135A0B" w:rsidP="001C4BD8">
            <w:pPr>
              <w:pStyle w:val="Default"/>
              <w:tabs>
                <w:tab w:val="left" w:pos="567"/>
              </w:tabs>
              <w:rPr>
                <w:rFonts w:ascii="Segoe UI" w:hAnsi="Segoe UI" w:cs="Segoe UI"/>
                <w:bCs/>
                <w:color w:val="auto"/>
                <w:sz w:val="20"/>
                <w:szCs w:val="20"/>
              </w:rPr>
            </w:pPr>
            <w:r w:rsidRPr="00E81AFB">
              <w:rPr>
                <w:rFonts w:ascii="Segoe UI" w:hAnsi="Segoe UI" w:cs="Segoe UI"/>
                <w:bCs/>
                <w:color w:val="auto"/>
                <w:sz w:val="20"/>
                <w:szCs w:val="20"/>
              </w:rPr>
              <w:t>Communications</w:t>
            </w:r>
          </w:p>
        </w:tc>
      </w:tr>
    </w:tbl>
    <w:p w:rsidR="006F143D" w:rsidRPr="00E81AFB" w:rsidRDefault="006F143D" w:rsidP="006F143D">
      <w:pPr>
        <w:rPr>
          <w:sz w:val="20"/>
          <w:szCs w:val="20"/>
        </w:rPr>
      </w:pPr>
    </w:p>
    <w:p w:rsidR="007E1CBE" w:rsidRPr="00176973" w:rsidRDefault="007E1CBE" w:rsidP="003651B6">
      <w:pPr>
        <w:pStyle w:val="Heading1"/>
        <w:rPr>
          <w:rFonts w:ascii="Segoe UI" w:hAnsi="Segoe UI" w:cs="Segoe UI"/>
          <w:sz w:val="22"/>
          <w:szCs w:val="22"/>
        </w:rPr>
      </w:pPr>
      <w:r w:rsidRPr="00176973">
        <w:rPr>
          <w:rFonts w:ascii="Segoe UI" w:hAnsi="Segoe UI" w:cs="Segoe UI"/>
          <w:sz w:val="22"/>
          <w:szCs w:val="22"/>
        </w:rPr>
        <w:lastRenderedPageBreak/>
        <w:t xml:space="preserve">Live Events </w:t>
      </w:r>
    </w:p>
    <w:p w:rsidR="00F744AC" w:rsidRPr="00F744AC" w:rsidRDefault="007E1CBE" w:rsidP="00F744AC">
      <w:pPr>
        <w:autoSpaceDE w:val="0"/>
        <w:autoSpaceDN w:val="0"/>
        <w:adjustRightInd w:val="0"/>
        <w:spacing w:after="0" w:line="240" w:lineRule="auto"/>
        <w:ind w:left="567"/>
        <w:jc w:val="both"/>
        <w:rPr>
          <w:rFonts w:ascii="Segoe UI" w:hAnsi="Segoe UI" w:cs="Segoe UI"/>
        </w:rPr>
      </w:pPr>
      <w:r w:rsidRPr="00F744AC">
        <w:rPr>
          <w:rFonts w:ascii="Segoe UI" w:hAnsi="Segoe UI" w:cs="Segoe UI"/>
        </w:rPr>
        <w:t>During 201</w:t>
      </w:r>
      <w:r w:rsidR="006B3AD5" w:rsidRPr="00F744AC">
        <w:rPr>
          <w:rFonts w:ascii="Segoe UI" w:hAnsi="Segoe UI" w:cs="Segoe UI"/>
        </w:rPr>
        <w:t>4</w:t>
      </w:r>
      <w:r w:rsidRPr="00F744AC">
        <w:rPr>
          <w:rFonts w:ascii="Segoe UI" w:hAnsi="Segoe UI" w:cs="Segoe UI"/>
        </w:rPr>
        <w:t>/1</w:t>
      </w:r>
      <w:r w:rsidR="006B3AD5" w:rsidRPr="00F744AC">
        <w:rPr>
          <w:rFonts w:ascii="Segoe UI" w:hAnsi="Segoe UI" w:cs="Segoe UI"/>
        </w:rPr>
        <w:t>5</w:t>
      </w:r>
      <w:r w:rsidR="001C03B9" w:rsidRPr="00F744AC">
        <w:rPr>
          <w:rFonts w:ascii="Segoe UI" w:hAnsi="Segoe UI" w:cs="Segoe UI"/>
        </w:rPr>
        <w:t xml:space="preserve"> there were </w:t>
      </w:r>
      <w:r w:rsidR="006B3AD5" w:rsidRPr="00F744AC">
        <w:rPr>
          <w:rFonts w:ascii="Segoe UI" w:hAnsi="Segoe UI" w:cs="Segoe UI"/>
        </w:rPr>
        <w:t>several live events that occurred</w:t>
      </w:r>
      <w:r w:rsidR="001C03B9" w:rsidRPr="00F744AC">
        <w:rPr>
          <w:rFonts w:ascii="Segoe UI" w:hAnsi="Segoe UI" w:cs="Segoe UI"/>
        </w:rPr>
        <w:t xml:space="preserve"> </w:t>
      </w:r>
      <w:r w:rsidR="003758A4" w:rsidRPr="00F744AC">
        <w:rPr>
          <w:rFonts w:ascii="Segoe UI" w:hAnsi="Segoe UI" w:cs="Segoe UI"/>
        </w:rPr>
        <w:t>and this</w:t>
      </w:r>
      <w:r w:rsidRPr="00F744AC">
        <w:rPr>
          <w:rFonts w:ascii="Segoe UI" w:hAnsi="Segoe UI" w:cs="Segoe UI"/>
        </w:rPr>
        <w:t xml:space="preserve"> provided an opportunity for </w:t>
      </w:r>
      <w:r w:rsidR="00F14192" w:rsidRPr="00F744AC">
        <w:rPr>
          <w:rFonts w:ascii="Segoe UI" w:hAnsi="Segoe UI" w:cs="Segoe UI"/>
        </w:rPr>
        <w:t xml:space="preserve">services to test </w:t>
      </w:r>
      <w:r w:rsidR="003758A4" w:rsidRPr="00F744AC">
        <w:rPr>
          <w:rFonts w:ascii="Segoe UI" w:hAnsi="Segoe UI" w:cs="Segoe UI"/>
        </w:rPr>
        <w:t xml:space="preserve">their </w:t>
      </w:r>
      <w:r w:rsidR="00180E9D">
        <w:rPr>
          <w:rFonts w:ascii="Segoe UI" w:hAnsi="Segoe UI" w:cs="Segoe UI"/>
        </w:rPr>
        <w:t>business continuity plans.  Two live events in particular affected major parts of the organisation.</w:t>
      </w:r>
    </w:p>
    <w:p w:rsidR="00F744AC" w:rsidRPr="00F744AC" w:rsidRDefault="00F744AC" w:rsidP="00F744AC">
      <w:pPr>
        <w:autoSpaceDE w:val="0"/>
        <w:autoSpaceDN w:val="0"/>
        <w:adjustRightInd w:val="0"/>
        <w:spacing w:after="0" w:line="240" w:lineRule="auto"/>
        <w:ind w:left="567"/>
        <w:jc w:val="both"/>
        <w:rPr>
          <w:rFonts w:ascii="Segoe UI" w:hAnsi="Segoe UI" w:cs="Segoe UI"/>
        </w:rPr>
      </w:pPr>
    </w:p>
    <w:p w:rsidR="00454455" w:rsidRPr="00F744AC" w:rsidRDefault="006B3AD5" w:rsidP="00F744AC">
      <w:pPr>
        <w:autoSpaceDE w:val="0"/>
        <w:autoSpaceDN w:val="0"/>
        <w:adjustRightInd w:val="0"/>
        <w:spacing w:after="0" w:line="240" w:lineRule="auto"/>
        <w:ind w:left="567"/>
        <w:jc w:val="both"/>
        <w:rPr>
          <w:rFonts w:ascii="Segoe UI" w:hAnsi="Segoe UI" w:cs="Segoe UI"/>
        </w:rPr>
      </w:pPr>
      <w:r w:rsidRPr="00F744AC">
        <w:rPr>
          <w:rFonts w:ascii="Segoe UI" w:hAnsi="Segoe UI" w:cs="Segoe UI"/>
        </w:rPr>
        <w:t>On 20</w:t>
      </w:r>
      <w:r w:rsidRPr="00F744AC">
        <w:rPr>
          <w:rFonts w:ascii="Segoe UI" w:hAnsi="Segoe UI" w:cs="Segoe UI"/>
          <w:vertAlign w:val="superscript"/>
        </w:rPr>
        <w:t xml:space="preserve"> </w:t>
      </w:r>
      <w:r w:rsidRPr="00F744AC">
        <w:rPr>
          <w:rFonts w:ascii="Segoe UI" w:hAnsi="Segoe UI" w:cs="Segoe UI"/>
        </w:rPr>
        <w:t>May 2014 Witney Community Hospital experienced a disruption to the power supply.  Although there is a permanent generator on site (as part of business continuity arrangements), on this occasion the generator did not start due to a component failure in the control panel.  As a result Witney Community Hospital was without power for a period of hours and activated their business continuity plan.  T</w:t>
      </w:r>
      <w:r w:rsidR="00AD3C1E" w:rsidRPr="00F744AC">
        <w:rPr>
          <w:rFonts w:ascii="Segoe UI" w:hAnsi="Segoe UI" w:cs="Segoe UI"/>
        </w:rPr>
        <w:t>his event validated the need to progress the estates and faci</w:t>
      </w:r>
      <w:r w:rsidRPr="00F744AC">
        <w:rPr>
          <w:rFonts w:ascii="Segoe UI" w:hAnsi="Segoe UI" w:cs="Segoe UI"/>
        </w:rPr>
        <w:t>li</w:t>
      </w:r>
      <w:r w:rsidR="00AD3C1E" w:rsidRPr="00F744AC">
        <w:rPr>
          <w:rFonts w:ascii="Segoe UI" w:hAnsi="Segoe UI" w:cs="Segoe UI"/>
        </w:rPr>
        <w:t>ties programme of work (see section 3.3)</w:t>
      </w:r>
    </w:p>
    <w:p w:rsidR="00454455" w:rsidRPr="00F744AC" w:rsidRDefault="00454455" w:rsidP="00F744AC">
      <w:pPr>
        <w:autoSpaceDE w:val="0"/>
        <w:autoSpaceDN w:val="0"/>
        <w:adjustRightInd w:val="0"/>
        <w:spacing w:after="0" w:line="240" w:lineRule="auto"/>
        <w:jc w:val="both"/>
        <w:rPr>
          <w:rFonts w:ascii="Segoe UI" w:hAnsi="Segoe UI" w:cs="Segoe UI"/>
        </w:rPr>
      </w:pPr>
    </w:p>
    <w:p w:rsidR="00073F40" w:rsidRPr="00F744AC" w:rsidRDefault="00F744AC" w:rsidP="00F744AC">
      <w:pPr>
        <w:autoSpaceDE w:val="0"/>
        <w:autoSpaceDN w:val="0"/>
        <w:adjustRightInd w:val="0"/>
        <w:spacing w:after="0" w:line="240" w:lineRule="auto"/>
        <w:ind w:left="567"/>
        <w:jc w:val="both"/>
        <w:rPr>
          <w:rFonts w:ascii="Segoe UI" w:hAnsi="Segoe UI" w:cs="Segoe UI"/>
          <w:bCs/>
        </w:rPr>
      </w:pPr>
      <w:r w:rsidRPr="00F744AC">
        <w:rPr>
          <w:rFonts w:ascii="Segoe UI" w:hAnsi="Segoe UI" w:cs="Segoe UI"/>
        </w:rPr>
        <w:t>Industrial a</w:t>
      </w:r>
      <w:r w:rsidR="00073F40" w:rsidRPr="00F744AC">
        <w:rPr>
          <w:rFonts w:ascii="Segoe UI" w:hAnsi="Segoe UI" w:cs="Segoe UI"/>
        </w:rPr>
        <w:t xml:space="preserve">ction </w:t>
      </w:r>
      <w:r w:rsidRPr="00F744AC">
        <w:rPr>
          <w:rFonts w:ascii="Segoe UI" w:hAnsi="Segoe UI" w:cs="Segoe UI"/>
        </w:rPr>
        <w:t xml:space="preserve">took place during October 2014 and services activated their business continuity plans </w:t>
      </w:r>
      <w:r w:rsidR="00073F40" w:rsidRPr="00F744AC">
        <w:rPr>
          <w:rFonts w:ascii="Segoe UI" w:hAnsi="Segoe UI" w:cs="Segoe UI"/>
          <w:bCs/>
        </w:rPr>
        <w:t>to ensure the impact on</w:t>
      </w:r>
      <w:r w:rsidRPr="00F744AC">
        <w:rPr>
          <w:rFonts w:ascii="Segoe UI" w:hAnsi="Segoe UI" w:cs="Segoe UI"/>
          <w:bCs/>
        </w:rPr>
        <w:t xml:space="preserve"> patients was </w:t>
      </w:r>
      <w:r w:rsidR="00DE2F48">
        <w:rPr>
          <w:rFonts w:ascii="Segoe UI" w:hAnsi="Segoe UI" w:cs="Segoe UI"/>
          <w:bCs/>
        </w:rPr>
        <w:t xml:space="preserve">minimised and there were </w:t>
      </w:r>
      <w:r w:rsidR="00073F40" w:rsidRPr="00F744AC">
        <w:rPr>
          <w:rFonts w:ascii="Segoe UI" w:hAnsi="Segoe UI" w:cs="Segoe UI"/>
          <w:bCs/>
        </w:rPr>
        <w:t xml:space="preserve">sufficient staff with appropriate skills in place to continue to provide a safe and high quality standard of care. </w:t>
      </w:r>
    </w:p>
    <w:p w:rsidR="00571CEA" w:rsidRPr="00F744AC" w:rsidRDefault="00571CEA" w:rsidP="00F744AC">
      <w:pPr>
        <w:pStyle w:val="Default"/>
        <w:ind w:left="567"/>
        <w:jc w:val="both"/>
        <w:rPr>
          <w:rFonts w:ascii="Segoe UI" w:hAnsi="Segoe UI" w:cs="Segoe UI"/>
          <w:color w:val="auto"/>
          <w:sz w:val="22"/>
          <w:szCs w:val="22"/>
          <w:lang w:val="en-US"/>
        </w:rPr>
      </w:pPr>
    </w:p>
    <w:p w:rsidR="00185BA1" w:rsidRPr="007E67F3" w:rsidRDefault="00185BA1" w:rsidP="00185BA1">
      <w:pPr>
        <w:pStyle w:val="Heading1"/>
        <w:rPr>
          <w:rFonts w:ascii="Segoe UI" w:hAnsi="Segoe UI" w:cs="Segoe UI"/>
          <w:sz w:val="22"/>
          <w:szCs w:val="22"/>
        </w:rPr>
      </w:pPr>
      <w:r w:rsidRPr="007E67F3">
        <w:rPr>
          <w:rFonts w:ascii="Segoe UI" w:hAnsi="Segoe UI" w:cs="Segoe UI"/>
          <w:sz w:val="22"/>
          <w:szCs w:val="22"/>
        </w:rPr>
        <w:t>Conclusion</w:t>
      </w:r>
    </w:p>
    <w:p w:rsidR="005C618E" w:rsidRPr="007E67F3" w:rsidRDefault="0000383A" w:rsidP="000C4045">
      <w:pPr>
        <w:tabs>
          <w:tab w:val="left" w:pos="567"/>
        </w:tabs>
        <w:autoSpaceDE w:val="0"/>
        <w:autoSpaceDN w:val="0"/>
        <w:adjustRightInd w:val="0"/>
        <w:spacing w:after="0" w:line="240" w:lineRule="auto"/>
        <w:ind w:left="567"/>
        <w:jc w:val="both"/>
        <w:rPr>
          <w:rFonts w:ascii="Segoe UI" w:hAnsi="Segoe UI" w:cs="Segoe UI"/>
        </w:rPr>
      </w:pPr>
      <w:r w:rsidRPr="007E67F3">
        <w:rPr>
          <w:rFonts w:ascii="Segoe UI" w:hAnsi="Segoe UI" w:cs="Segoe UI"/>
        </w:rPr>
        <w:t>In line with the Civil Contingencies Act 2004</w:t>
      </w:r>
      <w:r w:rsidR="007E67F3">
        <w:rPr>
          <w:rFonts w:ascii="Segoe UI" w:hAnsi="Segoe UI" w:cs="Segoe UI"/>
        </w:rPr>
        <w:t>,</w:t>
      </w:r>
      <w:r w:rsidRPr="007E67F3">
        <w:rPr>
          <w:rFonts w:ascii="Segoe UI" w:hAnsi="Segoe UI" w:cs="Segoe UI"/>
        </w:rPr>
        <w:t xml:space="preserve"> e</w:t>
      </w:r>
      <w:r w:rsidR="000C4045" w:rsidRPr="007E67F3">
        <w:rPr>
          <w:rFonts w:ascii="Segoe UI" w:hAnsi="Segoe UI" w:cs="Segoe UI"/>
        </w:rPr>
        <w:t xml:space="preserve">mergency </w:t>
      </w:r>
      <w:r w:rsidR="00913305" w:rsidRPr="007E67F3">
        <w:rPr>
          <w:rFonts w:ascii="Segoe UI" w:hAnsi="Segoe UI" w:cs="Segoe UI"/>
        </w:rPr>
        <w:t>planning and business continuity continues</w:t>
      </w:r>
      <w:r w:rsidR="000C4045" w:rsidRPr="007E67F3">
        <w:rPr>
          <w:rFonts w:ascii="Segoe UI" w:hAnsi="Segoe UI" w:cs="Segoe UI"/>
        </w:rPr>
        <w:t xml:space="preserve"> to be a core function of the NHS</w:t>
      </w:r>
      <w:r w:rsidR="000C4045" w:rsidRPr="007E67F3">
        <w:rPr>
          <w:rStyle w:val="FootnoteReference"/>
          <w:rFonts w:ascii="Segoe UI" w:hAnsi="Segoe UI" w:cs="Segoe UI"/>
        </w:rPr>
        <w:footnoteReference w:id="1"/>
      </w:r>
      <w:r w:rsidRPr="007E67F3">
        <w:rPr>
          <w:rFonts w:ascii="Segoe UI" w:hAnsi="Segoe UI" w:cs="Segoe UI"/>
        </w:rPr>
        <w:t xml:space="preserve">.  </w:t>
      </w:r>
      <w:r w:rsidR="00CD7772" w:rsidRPr="007E67F3">
        <w:rPr>
          <w:rFonts w:ascii="Segoe UI" w:hAnsi="Segoe UI" w:cs="Segoe UI"/>
        </w:rPr>
        <w:t xml:space="preserve">This annual report provides assurance that Oxford Health NHS Foundation Trust is in compliance with these requirements.  </w:t>
      </w:r>
    </w:p>
    <w:p w:rsidR="00CD7772" w:rsidRDefault="00CD7772" w:rsidP="00E86201">
      <w:pPr>
        <w:autoSpaceDE w:val="0"/>
        <w:autoSpaceDN w:val="0"/>
        <w:adjustRightInd w:val="0"/>
        <w:spacing w:after="0" w:line="240" w:lineRule="auto"/>
        <w:jc w:val="right"/>
        <w:rPr>
          <w:rFonts w:ascii="Segoe UI" w:hAnsi="Segoe UI" w:cs="Segoe UI"/>
          <w:b/>
          <w:bCs/>
          <w:color w:val="FF0000"/>
        </w:rPr>
      </w:pPr>
    </w:p>
    <w:p w:rsidR="0085374E" w:rsidRDefault="0085374E" w:rsidP="00E86201">
      <w:pPr>
        <w:autoSpaceDE w:val="0"/>
        <w:autoSpaceDN w:val="0"/>
        <w:adjustRightInd w:val="0"/>
        <w:spacing w:after="0" w:line="240" w:lineRule="auto"/>
        <w:jc w:val="right"/>
        <w:rPr>
          <w:rFonts w:ascii="Segoe UI" w:hAnsi="Segoe UI" w:cs="Segoe UI"/>
          <w:b/>
          <w:bCs/>
          <w:color w:val="FF0000"/>
        </w:rPr>
      </w:pPr>
    </w:p>
    <w:p w:rsidR="0085374E" w:rsidRDefault="0085374E" w:rsidP="00E86201">
      <w:pPr>
        <w:autoSpaceDE w:val="0"/>
        <w:autoSpaceDN w:val="0"/>
        <w:adjustRightInd w:val="0"/>
        <w:spacing w:after="0" w:line="240" w:lineRule="auto"/>
        <w:jc w:val="right"/>
        <w:rPr>
          <w:rFonts w:ascii="Segoe UI" w:hAnsi="Segoe UI" w:cs="Segoe UI"/>
          <w:b/>
          <w:bCs/>
          <w:color w:val="FF0000"/>
        </w:rPr>
      </w:pPr>
    </w:p>
    <w:p w:rsidR="0085374E" w:rsidRDefault="0085374E" w:rsidP="00E86201">
      <w:pPr>
        <w:autoSpaceDE w:val="0"/>
        <w:autoSpaceDN w:val="0"/>
        <w:adjustRightInd w:val="0"/>
        <w:spacing w:after="0" w:line="240" w:lineRule="auto"/>
        <w:jc w:val="right"/>
        <w:rPr>
          <w:rFonts w:ascii="Segoe UI" w:hAnsi="Segoe UI" w:cs="Segoe UI"/>
          <w:b/>
          <w:bCs/>
          <w:color w:val="FF0000"/>
        </w:rPr>
      </w:pPr>
    </w:p>
    <w:p w:rsidR="0085374E" w:rsidRDefault="0085374E" w:rsidP="00E86201">
      <w:pPr>
        <w:autoSpaceDE w:val="0"/>
        <w:autoSpaceDN w:val="0"/>
        <w:adjustRightInd w:val="0"/>
        <w:spacing w:after="0" w:line="240" w:lineRule="auto"/>
        <w:jc w:val="right"/>
        <w:rPr>
          <w:rFonts w:ascii="Segoe UI" w:hAnsi="Segoe UI" w:cs="Segoe UI"/>
          <w:b/>
          <w:bCs/>
          <w:color w:val="FF0000"/>
        </w:rPr>
      </w:pPr>
    </w:p>
    <w:p w:rsidR="0085374E" w:rsidRDefault="0085374E" w:rsidP="00E86201">
      <w:pPr>
        <w:autoSpaceDE w:val="0"/>
        <w:autoSpaceDN w:val="0"/>
        <w:adjustRightInd w:val="0"/>
        <w:spacing w:after="0" w:line="240" w:lineRule="auto"/>
        <w:jc w:val="right"/>
        <w:rPr>
          <w:rFonts w:ascii="Segoe UI" w:hAnsi="Segoe UI" w:cs="Segoe UI"/>
          <w:b/>
          <w:bCs/>
          <w:color w:val="FF0000"/>
        </w:rPr>
      </w:pPr>
    </w:p>
    <w:p w:rsidR="0085374E" w:rsidRPr="00372976" w:rsidRDefault="0085374E" w:rsidP="00E86201">
      <w:pPr>
        <w:autoSpaceDE w:val="0"/>
        <w:autoSpaceDN w:val="0"/>
        <w:adjustRightInd w:val="0"/>
        <w:spacing w:after="0" w:line="240" w:lineRule="auto"/>
        <w:jc w:val="right"/>
        <w:rPr>
          <w:rFonts w:ascii="Segoe UI" w:hAnsi="Segoe UI" w:cs="Segoe UI"/>
          <w:b/>
          <w:bCs/>
          <w:color w:val="FF0000"/>
        </w:rPr>
      </w:pPr>
    </w:p>
    <w:p w:rsidR="00E86201" w:rsidRDefault="00E86201" w:rsidP="00E86201">
      <w:pPr>
        <w:autoSpaceDE w:val="0"/>
        <w:autoSpaceDN w:val="0"/>
        <w:adjustRightInd w:val="0"/>
        <w:spacing w:after="0" w:line="240" w:lineRule="auto"/>
        <w:jc w:val="right"/>
        <w:rPr>
          <w:rFonts w:ascii="Segoe UI" w:hAnsi="Segoe UI" w:cs="Segoe UI"/>
          <w:b/>
          <w:bCs/>
        </w:rPr>
      </w:pPr>
      <w:r w:rsidRPr="00176973">
        <w:rPr>
          <w:rFonts w:ascii="Segoe UI" w:hAnsi="Segoe UI" w:cs="Segoe UI"/>
          <w:b/>
          <w:bCs/>
        </w:rPr>
        <w:t>Katie Cleaver</w:t>
      </w:r>
      <w:r w:rsidR="00CD7772" w:rsidRPr="00176973">
        <w:rPr>
          <w:rFonts w:ascii="Segoe UI" w:hAnsi="Segoe UI" w:cs="Segoe UI"/>
          <w:b/>
          <w:bCs/>
        </w:rPr>
        <w:t xml:space="preserve">, </w:t>
      </w:r>
      <w:r w:rsidRPr="00176973">
        <w:rPr>
          <w:rFonts w:ascii="Segoe UI" w:hAnsi="Segoe UI" w:cs="Segoe UI"/>
          <w:b/>
          <w:bCs/>
        </w:rPr>
        <w:t>Emergency Planning Lead</w:t>
      </w:r>
    </w:p>
    <w:p w:rsidR="00E160C1" w:rsidRPr="00176973" w:rsidRDefault="00E160C1" w:rsidP="00E86201">
      <w:pPr>
        <w:autoSpaceDE w:val="0"/>
        <w:autoSpaceDN w:val="0"/>
        <w:adjustRightInd w:val="0"/>
        <w:spacing w:after="0" w:line="240" w:lineRule="auto"/>
        <w:jc w:val="right"/>
        <w:rPr>
          <w:rFonts w:ascii="Segoe UI" w:hAnsi="Segoe UI" w:cs="Segoe UI"/>
          <w:b/>
          <w:bCs/>
        </w:rPr>
      </w:pPr>
      <w:r>
        <w:rPr>
          <w:rFonts w:ascii="Segoe UI" w:hAnsi="Segoe UI" w:cs="Segoe UI"/>
          <w:b/>
          <w:bCs/>
        </w:rPr>
        <w:t>on behalf of Yvonne Taylor, Chief Operating Officer</w:t>
      </w:r>
    </w:p>
    <w:p w:rsidR="0021647D" w:rsidRPr="00176973" w:rsidRDefault="003E47D9" w:rsidP="00267CBD">
      <w:pPr>
        <w:jc w:val="right"/>
        <w:rPr>
          <w:rFonts w:ascii="Segoe UI" w:hAnsi="Segoe UI" w:cs="Segoe UI"/>
          <w:color w:val="FF0000"/>
        </w:rPr>
      </w:pPr>
      <w:r>
        <w:rPr>
          <w:rFonts w:ascii="Segoe UI" w:hAnsi="Segoe UI" w:cs="Segoe UI"/>
          <w:b/>
          <w:bCs/>
        </w:rPr>
        <w:t xml:space="preserve">06 May </w:t>
      </w:r>
      <w:r w:rsidR="001E16CF">
        <w:rPr>
          <w:rFonts w:ascii="Segoe UI" w:hAnsi="Segoe UI" w:cs="Segoe UI"/>
          <w:b/>
          <w:bCs/>
        </w:rPr>
        <w:t>2015</w:t>
      </w:r>
    </w:p>
    <w:sectPr w:rsidR="0021647D" w:rsidRPr="00176973" w:rsidSect="00151E82">
      <w:footerReference w:type="default" r:id="rId10"/>
      <w:pgSz w:w="11906" w:h="16838"/>
      <w:pgMar w:top="720" w:right="720" w:bottom="720" w:left="720" w:header="708"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F2F" w:rsidRDefault="00917F2F" w:rsidP="00DC256C">
      <w:pPr>
        <w:spacing w:after="0" w:line="240" w:lineRule="auto"/>
      </w:pPr>
      <w:r>
        <w:separator/>
      </w:r>
    </w:p>
  </w:endnote>
  <w:endnote w:type="continuationSeparator" w:id="0">
    <w:p w:rsidR="00917F2F" w:rsidRDefault="00917F2F" w:rsidP="00DC2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7954"/>
      <w:docPartObj>
        <w:docPartGallery w:val="Page Numbers (Bottom of Page)"/>
        <w:docPartUnique/>
      </w:docPartObj>
    </w:sdtPr>
    <w:sdtEndPr/>
    <w:sdtContent>
      <w:p w:rsidR="00C8658D" w:rsidRDefault="00150AD5">
        <w:pPr>
          <w:pStyle w:val="Footer"/>
          <w:jc w:val="right"/>
        </w:pPr>
        <w:r>
          <w:fldChar w:fldCharType="begin"/>
        </w:r>
        <w:r w:rsidR="000F5F05">
          <w:instrText xml:space="preserve"> PAGE   \* MERGEFORMAT </w:instrText>
        </w:r>
        <w:r>
          <w:fldChar w:fldCharType="separate"/>
        </w:r>
        <w:r w:rsidR="000859A5">
          <w:rPr>
            <w:noProof/>
          </w:rPr>
          <w:t>1</w:t>
        </w:r>
        <w:r>
          <w:rPr>
            <w:noProof/>
          </w:rPr>
          <w:fldChar w:fldCharType="end"/>
        </w:r>
      </w:p>
    </w:sdtContent>
  </w:sdt>
  <w:p w:rsidR="00C8658D" w:rsidRDefault="00C86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F2F" w:rsidRDefault="00917F2F" w:rsidP="00DC256C">
      <w:pPr>
        <w:spacing w:after="0" w:line="240" w:lineRule="auto"/>
      </w:pPr>
      <w:r>
        <w:separator/>
      </w:r>
    </w:p>
  </w:footnote>
  <w:footnote w:type="continuationSeparator" w:id="0">
    <w:p w:rsidR="00917F2F" w:rsidRDefault="00917F2F" w:rsidP="00DC256C">
      <w:pPr>
        <w:spacing w:after="0" w:line="240" w:lineRule="auto"/>
      </w:pPr>
      <w:r>
        <w:continuationSeparator/>
      </w:r>
    </w:p>
  </w:footnote>
  <w:footnote w:id="1">
    <w:p w:rsidR="00C8658D" w:rsidRDefault="00C8658D">
      <w:pPr>
        <w:pStyle w:val="FootnoteText"/>
      </w:pPr>
      <w:r w:rsidRPr="00BF6024">
        <w:rPr>
          <w:rStyle w:val="FootnoteReference"/>
          <w:rFonts w:ascii="Segoe UI" w:hAnsi="Segoe UI" w:cs="Segoe UI"/>
          <w:sz w:val="18"/>
          <w:szCs w:val="18"/>
        </w:rPr>
        <w:footnoteRef/>
      </w:r>
      <w:r w:rsidRPr="00BF6024">
        <w:rPr>
          <w:rFonts w:ascii="Segoe UI" w:hAnsi="Segoe UI" w:cs="Segoe UI"/>
          <w:sz w:val="18"/>
          <w:szCs w:val="18"/>
        </w:rPr>
        <w:t xml:space="preserve"> The </w:t>
      </w:r>
      <w:r w:rsidR="00BF6024" w:rsidRPr="00BF6024">
        <w:rPr>
          <w:rFonts w:ascii="Segoe UI" w:hAnsi="Segoe UI" w:cs="Segoe UI"/>
          <w:sz w:val="18"/>
          <w:szCs w:val="18"/>
        </w:rPr>
        <w:t>NHS England Business Plan 2013 - 2016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2122"/>
        </w:tabs>
        <w:ind w:left="2122" w:hanging="283"/>
      </w:pPr>
      <w:rPr>
        <w:rFonts w:ascii="Symbol" w:hAnsi="Symbol" w:cs="StarSymbol"/>
        <w:sz w:val="18"/>
        <w:szCs w:val="18"/>
      </w:rPr>
    </w:lvl>
    <w:lvl w:ilvl="1">
      <w:start w:val="1"/>
      <w:numFmt w:val="bullet"/>
      <w:lvlText w:val=""/>
      <w:lvlJc w:val="left"/>
      <w:pPr>
        <w:tabs>
          <w:tab w:val="num" w:pos="2829"/>
        </w:tabs>
        <w:ind w:left="2829" w:hanging="283"/>
      </w:pPr>
      <w:rPr>
        <w:rFonts w:ascii="Symbol" w:hAnsi="Symbol" w:cs="StarSymbol"/>
        <w:sz w:val="18"/>
        <w:szCs w:val="18"/>
      </w:rPr>
    </w:lvl>
    <w:lvl w:ilvl="2">
      <w:start w:val="1"/>
      <w:numFmt w:val="bullet"/>
      <w:lvlText w:val=""/>
      <w:lvlJc w:val="left"/>
      <w:pPr>
        <w:tabs>
          <w:tab w:val="num" w:pos="3536"/>
        </w:tabs>
        <w:ind w:left="3536" w:hanging="283"/>
      </w:pPr>
      <w:rPr>
        <w:rFonts w:ascii="Symbol" w:hAnsi="Symbol" w:cs="StarSymbol"/>
        <w:sz w:val="18"/>
        <w:szCs w:val="18"/>
      </w:rPr>
    </w:lvl>
    <w:lvl w:ilvl="3">
      <w:start w:val="1"/>
      <w:numFmt w:val="bullet"/>
      <w:lvlText w:val=""/>
      <w:lvlJc w:val="left"/>
      <w:pPr>
        <w:tabs>
          <w:tab w:val="num" w:pos="4243"/>
        </w:tabs>
        <w:ind w:left="4243" w:hanging="283"/>
      </w:pPr>
      <w:rPr>
        <w:rFonts w:ascii="Symbol" w:hAnsi="Symbol" w:cs="StarSymbol"/>
        <w:sz w:val="18"/>
        <w:szCs w:val="18"/>
      </w:rPr>
    </w:lvl>
    <w:lvl w:ilvl="4">
      <w:start w:val="1"/>
      <w:numFmt w:val="bullet"/>
      <w:lvlText w:val=""/>
      <w:lvlJc w:val="left"/>
      <w:pPr>
        <w:tabs>
          <w:tab w:val="num" w:pos="4950"/>
        </w:tabs>
        <w:ind w:left="4950" w:hanging="283"/>
      </w:pPr>
      <w:rPr>
        <w:rFonts w:ascii="Symbol" w:hAnsi="Symbol" w:cs="StarSymbol"/>
        <w:sz w:val="18"/>
        <w:szCs w:val="18"/>
      </w:rPr>
    </w:lvl>
    <w:lvl w:ilvl="5">
      <w:start w:val="1"/>
      <w:numFmt w:val="bullet"/>
      <w:lvlText w:val=""/>
      <w:lvlJc w:val="left"/>
      <w:pPr>
        <w:tabs>
          <w:tab w:val="num" w:pos="5657"/>
        </w:tabs>
        <w:ind w:left="5657" w:hanging="283"/>
      </w:pPr>
      <w:rPr>
        <w:rFonts w:ascii="Symbol" w:hAnsi="Symbol" w:cs="StarSymbol"/>
        <w:sz w:val="18"/>
        <w:szCs w:val="18"/>
      </w:rPr>
    </w:lvl>
    <w:lvl w:ilvl="6">
      <w:start w:val="1"/>
      <w:numFmt w:val="bullet"/>
      <w:lvlText w:val=""/>
      <w:lvlJc w:val="left"/>
      <w:pPr>
        <w:tabs>
          <w:tab w:val="num" w:pos="6364"/>
        </w:tabs>
        <w:ind w:left="6364" w:hanging="283"/>
      </w:pPr>
      <w:rPr>
        <w:rFonts w:ascii="Symbol" w:hAnsi="Symbol" w:cs="StarSymbol"/>
        <w:sz w:val="18"/>
        <w:szCs w:val="18"/>
      </w:rPr>
    </w:lvl>
    <w:lvl w:ilvl="7">
      <w:start w:val="1"/>
      <w:numFmt w:val="bullet"/>
      <w:lvlText w:val=""/>
      <w:lvlJc w:val="left"/>
      <w:pPr>
        <w:tabs>
          <w:tab w:val="num" w:pos="7071"/>
        </w:tabs>
        <w:ind w:left="7071" w:hanging="283"/>
      </w:pPr>
      <w:rPr>
        <w:rFonts w:ascii="Symbol" w:hAnsi="Symbol" w:cs="StarSymbol"/>
        <w:sz w:val="18"/>
        <w:szCs w:val="18"/>
      </w:rPr>
    </w:lvl>
    <w:lvl w:ilvl="8">
      <w:start w:val="1"/>
      <w:numFmt w:val="bullet"/>
      <w:lvlText w:val=""/>
      <w:lvlJc w:val="left"/>
      <w:pPr>
        <w:tabs>
          <w:tab w:val="num" w:pos="7778"/>
        </w:tabs>
        <w:ind w:left="7778" w:hanging="283"/>
      </w:pPr>
      <w:rPr>
        <w:rFonts w:ascii="Symbol" w:hAnsi="Symbol" w:cs="StarSymbol"/>
        <w:sz w:val="18"/>
        <w:szCs w:val="18"/>
      </w:rPr>
    </w:lvl>
  </w:abstractNum>
  <w:abstractNum w:abstractNumId="1">
    <w:nsid w:val="015660CD"/>
    <w:multiLevelType w:val="hybridMultilevel"/>
    <w:tmpl w:val="D52C7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1BE08D2"/>
    <w:multiLevelType w:val="hybridMultilevel"/>
    <w:tmpl w:val="311C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BD437D"/>
    <w:multiLevelType w:val="multilevel"/>
    <w:tmpl w:val="152CB884"/>
    <w:lvl w:ilvl="0">
      <w:start w:val="1"/>
      <w:numFmt w:val="decimal"/>
      <w:lvlText w:val="%1.0"/>
      <w:lvlJc w:val="left"/>
      <w:pPr>
        <w:tabs>
          <w:tab w:val="num" w:pos="375"/>
        </w:tabs>
        <w:ind w:left="375" w:hanging="375"/>
      </w:pPr>
      <w:rPr>
        <w:rFonts w:hint="default"/>
      </w:rPr>
    </w:lvl>
    <w:lvl w:ilvl="1">
      <w:start w:val="1"/>
      <w:numFmt w:val="bullet"/>
      <w:lvlText w:val=""/>
      <w:lvlJc w:val="left"/>
      <w:pPr>
        <w:tabs>
          <w:tab w:val="num" w:pos="1095"/>
        </w:tabs>
        <w:ind w:left="1095" w:hanging="375"/>
      </w:pPr>
      <w:rPr>
        <w:rFonts w:ascii="Symbol" w:hAnsi="Symbo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5CA133D"/>
    <w:multiLevelType w:val="multilevel"/>
    <w:tmpl w:val="689496B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47123E"/>
    <w:multiLevelType w:val="hybridMultilevel"/>
    <w:tmpl w:val="23501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3FF1730"/>
    <w:multiLevelType w:val="hybridMultilevel"/>
    <w:tmpl w:val="1044552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4256911"/>
    <w:multiLevelType w:val="hybridMultilevel"/>
    <w:tmpl w:val="099ACA8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8">
    <w:nsid w:val="2E5107D2"/>
    <w:multiLevelType w:val="hybridMultilevel"/>
    <w:tmpl w:val="88E2DD9C"/>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9">
    <w:nsid w:val="34107A0D"/>
    <w:multiLevelType w:val="hybridMultilevel"/>
    <w:tmpl w:val="1E74B258"/>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0">
    <w:nsid w:val="42E87E79"/>
    <w:multiLevelType w:val="multilevel"/>
    <w:tmpl w:val="A322F10E"/>
    <w:lvl w:ilvl="0">
      <w:start w:val="1"/>
      <w:numFmt w:val="decimal"/>
      <w:pStyle w:val="Heading1"/>
      <w:lvlText w:val="%1.0"/>
      <w:lvlJc w:val="left"/>
      <w:pPr>
        <w:ind w:left="1494" w:hanging="360"/>
      </w:pPr>
      <w:rPr>
        <w:rFonts w:hint="default"/>
      </w:rPr>
    </w:lvl>
    <w:lvl w:ilvl="1">
      <w:start w:val="1"/>
      <w:numFmt w:val="decimal"/>
      <w:pStyle w:val="Heading2"/>
      <w:lvlText w:val="%1.%2"/>
      <w:lvlJc w:val="left"/>
      <w:pPr>
        <w:ind w:left="2214"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014" w:hanging="720"/>
      </w:pPr>
      <w:rPr>
        <w:rFonts w:hint="default"/>
      </w:rPr>
    </w:lvl>
    <w:lvl w:ilvl="4">
      <w:start w:val="1"/>
      <w:numFmt w:val="decimal"/>
      <w:lvlText w:val="%1.%2.%3.%4.%5"/>
      <w:lvlJc w:val="left"/>
      <w:pPr>
        <w:ind w:left="5094" w:hanging="1080"/>
      </w:pPr>
      <w:rPr>
        <w:rFonts w:hint="default"/>
      </w:rPr>
    </w:lvl>
    <w:lvl w:ilvl="5">
      <w:start w:val="1"/>
      <w:numFmt w:val="decimal"/>
      <w:lvlText w:val="%1.%2.%3.%4.%5.%6"/>
      <w:lvlJc w:val="left"/>
      <w:pPr>
        <w:ind w:left="5814" w:hanging="1080"/>
      </w:pPr>
      <w:rPr>
        <w:rFonts w:hint="default"/>
      </w:rPr>
    </w:lvl>
    <w:lvl w:ilvl="6">
      <w:start w:val="1"/>
      <w:numFmt w:val="decimal"/>
      <w:lvlText w:val="%1.%2.%3.%4.%5.%6.%7"/>
      <w:lvlJc w:val="left"/>
      <w:pPr>
        <w:ind w:left="6894"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694" w:hanging="1800"/>
      </w:pPr>
      <w:rPr>
        <w:rFonts w:hint="default"/>
      </w:rPr>
    </w:lvl>
  </w:abstractNum>
  <w:abstractNum w:abstractNumId="11">
    <w:nsid w:val="48E409C5"/>
    <w:multiLevelType w:val="multilevel"/>
    <w:tmpl w:val="E068847C"/>
    <w:lvl w:ilvl="0">
      <w:start w:val="1"/>
      <w:numFmt w:val="decimal"/>
      <w:lvlText w:val="%1.0"/>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4A4875EB"/>
    <w:multiLevelType w:val="multilevel"/>
    <w:tmpl w:val="282449B6"/>
    <w:lvl w:ilvl="0">
      <w:start w:val="6"/>
      <w:numFmt w:val="decimal"/>
      <w:lvlText w:val="%1.0"/>
      <w:lvlJc w:val="left"/>
      <w:pPr>
        <w:ind w:left="1494" w:hanging="360"/>
      </w:pPr>
      <w:rPr>
        <w:rFonts w:hint="default"/>
      </w:rPr>
    </w:lvl>
    <w:lvl w:ilvl="1">
      <w:start w:val="1"/>
      <w:numFmt w:val="decimal"/>
      <w:lvlText w:val="%1.%2"/>
      <w:lvlJc w:val="left"/>
      <w:pPr>
        <w:ind w:left="2214"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014" w:hanging="720"/>
      </w:pPr>
      <w:rPr>
        <w:rFonts w:hint="default"/>
      </w:rPr>
    </w:lvl>
    <w:lvl w:ilvl="4">
      <w:start w:val="1"/>
      <w:numFmt w:val="decimal"/>
      <w:lvlText w:val="%1.%2.%3.%4.%5"/>
      <w:lvlJc w:val="left"/>
      <w:pPr>
        <w:ind w:left="5094" w:hanging="1080"/>
      </w:pPr>
      <w:rPr>
        <w:rFonts w:hint="default"/>
      </w:rPr>
    </w:lvl>
    <w:lvl w:ilvl="5">
      <w:start w:val="1"/>
      <w:numFmt w:val="decimal"/>
      <w:lvlText w:val="%1.%2.%3.%4.%5.%6"/>
      <w:lvlJc w:val="left"/>
      <w:pPr>
        <w:ind w:left="5814" w:hanging="1080"/>
      </w:pPr>
      <w:rPr>
        <w:rFonts w:hint="default"/>
      </w:rPr>
    </w:lvl>
    <w:lvl w:ilvl="6">
      <w:start w:val="1"/>
      <w:numFmt w:val="decimal"/>
      <w:lvlText w:val="%1.%2.%3.%4.%5.%6.%7"/>
      <w:lvlJc w:val="left"/>
      <w:pPr>
        <w:ind w:left="6894"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694" w:hanging="1800"/>
      </w:pPr>
      <w:rPr>
        <w:rFonts w:hint="default"/>
      </w:rPr>
    </w:lvl>
  </w:abstractNum>
  <w:abstractNum w:abstractNumId="13">
    <w:nsid w:val="4C436E66"/>
    <w:multiLevelType w:val="hybridMultilevel"/>
    <w:tmpl w:val="039A9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AB0F14"/>
    <w:multiLevelType w:val="hybridMultilevel"/>
    <w:tmpl w:val="6E3ECFC4"/>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5">
    <w:nsid w:val="54337807"/>
    <w:multiLevelType w:val="multilevel"/>
    <w:tmpl w:val="152CB884"/>
    <w:lvl w:ilvl="0">
      <w:start w:val="1"/>
      <w:numFmt w:val="decimal"/>
      <w:lvlText w:val="%1.0"/>
      <w:lvlJc w:val="left"/>
      <w:pPr>
        <w:tabs>
          <w:tab w:val="num" w:pos="375"/>
        </w:tabs>
        <w:ind w:left="375" w:hanging="375"/>
      </w:pPr>
      <w:rPr>
        <w:rFonts w:hint="default"/>
      </w:rPr>
    </w:lvl>
    <w:lvl w:ilvl="1">
      <w:start w:val="1"/>
      <w:numFmt w:val="bullet"/>
      <w:lvlText w:val=""/>
      <w:lvlJc w:val="left"/>
      <w:pPr>
        <w:tabs>
          <w:tab w:val="num" w:pos="1095"/>
        </w:tabs>
        <w:ind w:left="1095" w:hanging="375"/>
      </w:pPr>
      <w:rPr>
        <w:rFonts w:ascii="Symbol" w:hAnsi="Symbo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4DC494B"/>
    <w:multiLevelType w:val="hybridMultilevel"/>
    <w:tmpl w:val="274E2FCA"/>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67167608"/>
    <w:multiLevelType w:val="hybridMultilevel"/>
    <w:tmpl w:val="CF3000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7D7716EC"/>
    <w:multiLevelType w:val="multilevel"/>
    <w:tmpl w:val="224C34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9"/>
  </w:num>
  <w:num w:numId="2">
    <w:abstractNumId w:val="7"/>
  </w:num>
  <w:num w:numId="3">
    <w:abstractNumId w:val="1"/>
  </w:num>
  <w:num w:numId="4">
    <w:abstractNumId w:val="4"/>
  </w:num>
  <w:num w:numId="5">
    <w:abstractNumId w:val="11"/>
  </w:num>
  <w:num w:numId="6">
    <w:abstractNumId w:val="3"/>
  </w:num>
  <w:num w:numId="7">
    <w:abstractNumId w:val="5"/>
  </w:num>
  <w:num w:numId="8">
    <w:abstractNumId w:val="15"/>
  </w:num>
  <w:num w:numId="9">
    <w:abstractNumId w:val="12"/>
  </w:num>
  <w:num w:numId="10">
    <w:abstractNumId w:val="2"/>
  </w:num>
  <w:num w:numId="11">
    <w:abstractNumId w:val="10"/>
  </w:num>
  <w:num w:numId="12">
    <w:abstractNumId w:val="8"/>
  </w:num>
  <w:num w:numId="13">
    <w:abstractNumId w:val="0"/>
  </w:num>
  <w:num w:numId="14">
    <w:abstractNumId w:val="18"/>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num>
  <w:num w:numId="19">
    <w:abstractNumId w:val="1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5"/>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232"/>
    <w:rsid w:val="0000383A"/>
    <w:rsid w:val="0000484D"/>
    <w:rsid w:val="00005700"/>
    <w:rsid w:val="00006695"/>
    <w:rsid w:val="00006FD1"/>
    <w:rsid w:val="0000743D"/>
    <w:rsid w:val="00022188"/>
    <w:rsid w:val="00027FEF"/>
    <w:rsid w:val="000313F9"/>
    <w:rsid w:val="00045956"/>
    <w:rsid w:val="0004686A"/>
    <w:rsid w:val="000474A9"/>
    <w:rsid w:val="00050CFD"/>
    <w:rsid w:val="000574D3"/>
    <w:rsid w:val="00073F40"/>
    <w:rsid w:val="000830C7"/>
    <w:rsid w:val="000841F4"/>
    <w:rsid w:val="00085918"/>
    <w:rsid w:val="000859A5"/>
    <w:rsid w:val="000860B4"/>
    <w:rsid w:val="000A0805"/>
    <w:rsid w:val="000A6C03"/>
    <w:rsid w:val="000B7FC8"/>
    <w:rsid w:val="000C01FD"/>
    <w:rsid w:val="000C137A"/>
    <w:rsid w:val="000C4045"/>
    <w:rsid w:val="000C73B6"/>
    <w:rsid w:val="000E313F"/>
    <w:rsid w:val="000E4876"/>
    <w:rsid w:val="000E6C13"/>
    <w:rsid w:val="000F5D57"/>
    <w:rsid w:val="000F5F05"/>
    <w:rsid w:val="00100AAC"/>
    <w:rsid w:val="00106BA0"/>
    <w:rsid w:val="00121484"/>
    <w:rsid w:val="00122D47"/>
    <w:rsid w:val="001251C1"/>
    <w:rsid w:val="00127ED9"/>
    <w:rsid w:val="00132579"/>
    <w:rsid w:val="00134189"/>
    <w:rsid w:val="001355FC"/>
    <w:rsid w:val="00135A0B"/>
    <w:rsid w:val="00140B79"/>
    <w:rsid w:val="00150AD5"/>
    <w:rsid w:val="00151E82"/>
    <w:rsid w:val="00172B33"/>
    <w:rsid w:val="00176973"/>
    <w:rsid w:val="00177255"/>
    <w:rsid w:val="00180E9D"/>
    <w:rsid w:val="00181AEB"/>
    <w:rsid w:val="00185BA1"/>
    <w:rsid w:val="001B27E3"/>
    <w:rsid w:val="001B6EAA"/>
    <w:rsid w:val="001C03B9"/>
    <w:rsid w:val="001C13BB"/>
    <w:rsid w:val="001D6C48"/>
    <w:rsid w:val="001E16CF"/>
    <w:rsid w:val="001E771E"/>
    <w:rsid w:val="001F2B01"/>
    <w:rsid w:val="002041B1"/>
    <w:rsid w:val="00215C6C"/>
    <w:rsid w:val="0021647D"/>
    <w:rsid w:val="00222A9E"/>
    <w:rsid w:val="0023672F"/>
    <w:rsid w:val="002369BD"/>
    <w:rsid w:val="00240A1F"/>
    <w:rsid w:val="00241654"/>
    <w:rsid w:val="0024391D"/>
    <w:rsid w:val="00251B5C"/>
    <w:rsid w:val="002550EB"/>
    <w:rsid w:val="00267CBD"/>
    <w:rsid w:val="0027584D"/>
    <w:rsid w:val="00282B89"/>
    <w:rsid w:val="00290EEE"/>
    <w:rsid w:val="00296252"/>
    <w:rsid w:val="002A06A3"/>
    <w:rsid w:val="002B1607"/>
    <w:rsid w:val="002C2E10"/>
    <w:rsid w:val="002D2D29"/>
    <w:rsid w:val="002D6F18"/>
    <w:rsid w:val="002E0C58"/>
    <w:rsid w:val="002F2497"/>
    <w:rsid w:val="002F5596"/>
    <w:rsid w:val="003036EA"/>
    <w:rsid w:val="0031504B"/>
    <w:rsid w:val="00322A78"/>
    <w:rsid w:val="003327D7"/>
    <w:rsid w:val="003372E8"/>
    <w:rsid w:val="00345DEB"/>
    <w:rsid w:val="00356B20"/>
    <w:rsid w:val="0036421F"/>
    <w:rsid w:val="003651B6"/>
    <w:rsid w:val="00371986"/>
    <w:rsid w:val="00372976"/>
    <w:rsid w:val="003758A4"/>
    <w:rsid w:val="003874AA"/>
    <w:rsid w:val="00390B42"/>
    <w:rsid w:val="003A2492"/>
    <w:rsid w:val="003C15BB"/>
    <w:rsid w:val="003D00B5"/>
    <w:rsid w:val="003E47D9"/>
    <w:rsid w:val="003E5F0C"/>
    <w:rsid w:val="003E66D8"/>
    <w:rsid w:val="004039D1"/>
    <w:rsid w:val="00406611"/>
    <w:rsid w:val="00411E38"/>
    <w:rsid w:val="004136AE"/>
    <w:rsid w:val="0041661A"/>
    <w:rsid w:val="00421100"/>
    <w:rsid w:val="00427069"/>
    <w:rsid w:val="00427AA6"/>
    <w:rsid w:val="004320EF"/>
    <w:rsid w:val="00435029"/>
    <w:rsid w:val="00436428"/>
    <w:rsid w:val="00454455"/>
    <w:rsid w:val="004626B6"/>
    <w:rsid w:val="0047160B"/>
    <w:rsid w:val="0047235E"/>
    <w:rsid w:val="00485468"/>
    <w:rsid w:val="004A298A"/>
    <w:rsid w:val="004A7127"/>
    <w:rsid w:val="004B1CDE"/>
    <w:rsid w:val="004B6181"/>
    <w:rsid w:val="004C5D49"/>
    <w:rsid w:val="004D44FD"/>
    <w:rsid w:val="004D6D84"/>
    <w:rsid w:val="004D78AF"/>
    <w:rsid w:val="004D7F9D"/>
    <w:rsid w:val="004E49D5"/>
    <w:rsid w:val="004F3BBF"/>
    <w:rsid w:val="004F51DA"/>
    <w:rsid w:val="00503248"/>
    <w:rsid w:val="00503316"/>
    <w:rsid w:val="005160A9"/>
    <w:rsid w:val="005270B8"/>
    <w:rsid w:val="00537743"/>
    <w:rsid w:val="00571CEA"/>
    <w:rsid w:val="00577F15"/>
    <w:rsid w:val="00584B57"/>
    <w:rsid w:val="005927A1"/>
    <w:rsid w:val="005A5729"/>
    <w:rsid w:val="005B03D3"/>
    <w:rsid w:val="005B41AF"/>
    <w:rsid w:val="005C618E"/>
    <w:rsid w:val="005D5851"/>
    <w:rsid w:val="005F19A0"/>
    <w:rsid w:val="005F256E"/>
    <w:rsid w:val="005F2F10"/>
    <w:rsid w:val="005F4FC6"/>
    <w:rsid w:val="00600D09"/>
    <w:rsid w:val="00610B9B"/>
    <w:rsid w:val="00612825"/>
    <w:rsid w:val="00616B47"/>
    <w:rsid w:val="006306C1"/>
    <w:rsid w:val="00632DC3"/>
    <w:rsid w:val="0063336A"/>
    <w:rsid w:val="006362E6"/>
    <w:rsid w:val="00654083"/>
    <w:rsid w:val="0065544A"/>
    <w:rsid w:val="00657EC1"/>
    <w:rsid w:val="00664B0C"/>
    <w:rsid w:val="00674321"/>
    <w:rsid w:val="0068166B"/>
    <w:rsid w:val="00681A89"/>
    <w:rsid w:val="0068637C"/>
    <w:rsid w:val="00686DF0"/>
    <w:rsid w:val="00692625"/>
    <w:rsid w:val="006A09A0"/>
    <w:rsid w:val="006B3AD5"/>
    <w:rsid w:val="006C1836"/>
    <w:rsid w:val="006C56C0"/>
    <w:rsid w:val="006C618A"/>
    <w:rsid w:val="006D4E82"/>
    <w:rsid w:val="006E5625"/>
    <w:rsid w:val="006F143D"/>
    <w:rsid w:val="00706544"/>
    <w:rsid w:val="00715199"/>
    <w:rsid w:val="0073198A"/>
    <w:rsid w:val="007342F9"/>
    <w:rsid w:val="00742190"/>
    <w:rsid w:val="00746EB2"/>
    <w:rsid w:val="007500F3"/>
    <w:rsid w:val="0075414B"/>
    <w:rsid w:val="00755B65"/>
    <w:rsid w:val="0076180C"/>
    <w:rsid w:val="00770075"/>
    <w:rsid w:val="00770A75"/>
    <w:rsid w:val="00772393"/>
    <w:rsid w:val="007812D4"/>
    <w:rsid w:val="00783538"/>
    <w:rsid w:val="00790A95"/>
    <w:rsid w:val="007916C6"/>
    <w:rsid w:val="007A290A"/>
    <w:rsid w:val="007A60D4"/>
    <w:rsid w:val="007B0C44"/>
    <w:rsid w:val="007C2232"/>
    <w:rsid w:val="007D1CED"/>
    <w:rsid w:val="007D277E"/>
    <w:rsid w:val="007E0312"/>
    <w:rsid w:val="007E1CBE"/>
    <w:rsid w:val="007E4E71"/>
    <w:rsid w:val="007E67F3"/>
    <w:rsid w:val="007F3BCF"/>
    <w:rsid w:val="007F6C91"/>
    <w:rsid w:val="008074E2"/>
    <w:rsid w:val="008111C4"/>
    <w:rsid w:val="008113EA"/>
    <w:rsid w:val="00817798"/>
    <w:rsid w:val="00836316"/>
    <w:rsid w:val="0084591E"/>
    <w:rsid w:val="0085374E"/>
    <w:rsid w:val="0087005B"/>
    <w:rsid w:val="008702BF"/>
    <w:rsid w:val="00877B12"/>
    <w:rsid w:val="008A4C98"/>
    <w:rsid w:val="008B26FE"/>
    <w:rsid w:val="008E22B6"/>
    <w:rsid w:val="008E6CAE"/>
    <w:rsid w:val="008F610A"/>
    <w:rsid w:val="0090235B"/>
    <w:rsid w:val="009031E5"/>
    <w:rsid w:val="009110C8"/>
    <w:rsid w:val="00913305"/>
    <w:rsid w:val="00915276"/>
    <w:rsid w:val="009156B8"/>
    <w:rsid w:val="00915B0A"/>
    <w:rsid w:val="00916962"/>
    <w:rsid w:val="00917F2F"/>
    <w:rsid w:val="00926AAD"/>
    <w:rsid w:val="00935F21"/>
    <w:rsid w:val="0094404F"/>
    <w:rsid w:val="00950E50"/>
    <w:rsid w:val="00962396"/>
    <w:rsid w:val="0097150C"/>
    <w:rsid w:val="009817C7"/>
    <w:rsid w:val="00981827"/>
    <w:rsid w:val="0098590A"/>
    <w:rsid w:val="0099699D"/>
    <w:rsid w:val="009A1546"/>
    <w:rsid w:val="009A71C7"/>
    <w:rsid w:val="009C578C"/>
    <w:rsid w:val="009D1B02"/>
    <w:rsid w:val="009D293E"/>
    <w:rsid w:val="009E38FE"/>
    <w:rsid w:val="009F1C9F"/>
    <w:rsid w:val="009F3004"/>
    <w:rsid w:val="00A06C24"/>
    <w:rsid w:val="00A11603"/>
    <w:rsid w:val="00A12FEE"/>
    <w:rsid w:val="00A16BDB"/>
    <w:rsid w:val="00A17AFB"/>
    <w:rsid w:val="00A26FF7"/>
    <w:rsid w:val="00A32255"/>
    <w:rsid w:val="00A3679E"/>
    <w:rsid w:val="00A428E7"/>
    <w:rsid w:val="00A61574"/>
    <w:rsid w:val="00A63CBF"/>
    <w:rsid w:val="00A643F7"/>
    <w:rsid w:val="00A76B37"/>
    <w:rsid w:val="00A82DAE"/>
    <w:rsid w:val="00A84873"/>
    <w:rsid w:val="00A84918"/>
    <w:rsid w:val="00A93BE9"/>
    <w:rsid w:val="00AA731B"/>
    <w:rsid w:val="00AB28FF"/>
    <w:rsid w:val="00AB754D"/>
    <w:rsid w:val="00AC0724"/>
    <w:rsid w:val="00AD16F7"/>
    <w:rsid w:val="00AD3C1E"/>
    <w:rsid w:val="00AD6122"/>
    <w:rsid w:val="00AE1503"/>
    <w:rsid w:val="00AE398E"/>
    <w:rsid w:val="00AF43A7"/>
    <w:rsid w:val="00B10685"/>
    <w:rsid w:val="00B14FC6"/>
    <w:rsid w:val="00B173CE"/>
    <w:rsid w:val="00B1755A"/>
    <w:rsid w:val="00B22D51"/>
    <w:rsid w:val="00B26772"/>
    <w:rsid w:val="00B2788D"/>
    <w:rsid w:val="00B27CD7"/>
    <w:rsid w:val="00B308EE"/>
    <w:rsid w:val="00B31ED7"/>
    <w:rsid w:val="00B372A5"/>
    <w:rsid w:val="00B4670B"/>
    <w:rsid w:val="00B50EFE"/>
    <w:rsid w:val="00B53105"/>
    <w:rsid w:val="00B63784"/>
    <w:rsid w:val="00B668A7"/>
    <w:rsid w:val="00B671C0"/>
    <w:rsid w:val="00B771CA"/>
    <w:rsid w:val="00B804FE"/>
    <w:rsid w:val="00B821AD"/>
    <w:rsid w:val="00B84F0F"/>
    <w:rsid w:val="00B85511"/>
    <w:rsid w:val="00B918A0"/>
    <w:rsid w:val="00BA6CC7"/>
    <w:rsid w:val="00BA7579"/>
    <w:rsid w:val="00BB0192"/>
    <w:rsid w:val="00BB3608"/>
    <w:rsid w:val="00BD42DA"/>
    <w:rsid w:val="00BD7D6B"/>
    <w:rsid w:val="00BE0AB6"/>
    <w:rsid w:val="00BF6024"/>
    <w:rsid w:val="00C043B4"/>
    <w:rsid w:val="00C06894"/>
    <w:rsid w:val="00C32F6A"/>
    <w:rsid w:val="00C53111"/>
    <w:rsid w:val="00C650FF"/>
    <w:rsid w:val="00C80AFE"/>
    <w:rsid w:val="00C8658D"/>
    <w:rsid w:val="00C87C1B"/>
    <w:rsid w:val="00C97529"/>
    <w:rsid w:val="00CA3629"/>
    <w:rsid w:val="00CC096C"/>
    <w:rsid w:val="00CC335C"/>
    <w:rsid w:val="00CC36ED"/>
    <w:rsid w:val="00CC589A"/>
    <w:rsid w:val="00CD7772"/>
    <w:rsid w:val="00CE1CC2"/>
    <w:rsid w:val="00CF3E77"/>
    <w:rsid w:val="00CF5C20"/>
    <w:rsid w:val="00D0565D"/>
    <w:rsid w:val="00D26AC2"/>
    <w:rsid w:val="00D3379F"/>
    <w:rsid w:val="00D34847"/>
    <w:rsid w:val="00D62C89"/>
    <w:rsid w:val="00D747C2"/>
    <w:rsid w:val="00D95ED2"/>
    <w:rsid w:val="00DA6450"/>
    <w:rsid w:val="00DC256C"/>
    <w:rsid w:val="00DC5D55"/>
    <w:rsid w:val="00DD756A"/>
    <w:rsid w:val="00DE2F48"/>
    <w:rsid w:val="00DE78CB"/>
    <w:rsid w:val="00DF21BA"/>
    <w:rsid w:val="00DF2C47"/>
    <w:rsid w:val="00DF6251"/>
    <w:rsid w:val="00E00660"/>
    <w:rsid w:val="00E10BBC"/>
    <w:rsid w:val="00E11B5C"/>
    <w:rsid w:val="00E11FA8"/>
    <w:rsid w:val="00E14E50"/>
    <w:rsid w:val="00E160C1"/>
    <w:rsid w:val="00E224EB"/>
    <w:rsid w:val="00E357DA"/>
    <w:rsid w:val="00E403CB"/>
    <w:rsid w:val="00E4494A"/>
    <w:rsid w:val="00E50D04"/>
    <w:rsid w:val="00E54C2A"/>
    <w:rsid w:val="00E64991"/>
    <w:rsid w:val="00E81AFB"/>
    <w:rsid w:val="00E86201"/>
    <w:rsid w:val="00E87D6E"/>
    <w:rsid w:val="00E948F4"/>
    <w:rsid w:val="00EA027C"/>
    <w:rsid w:val="00EB03C1"/>
    <w:rsid w:val="00EC7EB5"/>
    <w:rsid w:val="00ED7E3F"/>
    <w:rsid w:val="00EE3191"/>
    <w:rsid w:val="00EF481F"/>
    <w:rsid w:val="00EF646A"/>
    <w:rsid w:val="00EF7413"/>
    <w:rsid w:val="00F02F08"/>
    <w:rsid w:val="00F04B07"/>
    <w:rsid w:val="00F06BE6"/>
    <w:rsid w:val="00F14192"/>
    <w:rsid w:val="00F3519C"/>
    <w:rsid w:val="00F3674D"/>
    <w:rsid w:val="00F41AF4"/>
    <w:rsid w:val="00F608CF"/>
    <w:rsid w:val="00F65E77"/>
    <w:rsid w:val="00F7365C"/>
    <w:rsid w:val="00F744AC"/>
    <w:rsid w:val="00F8262B"/>
    <w:rsid w:val="00F83372"/>
    <w:rsid w:val="00FC45EF"/>
    <w:rsid w:val="00FD5B3E"/>
    <w:rsid w:val="00FE3E5E"/>
    <w:rsid w:val="00FF2428"/>
    <w:rsid w:val="00FF3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7798"/>
    <w:pPr>
      <w:keepNext/>
      <w:keepLines/>
      <w:numPr>
        <w:numId w:val="11"/>
      </w:numPr>
      <w:spacing w:after="0"/>
      <w:ind w:left="567" w:hanging="567"/>
      <w:outlineLvl w:val="0"/>
    </w:pPr>
    <w:rPr>
      <w:rFonts w:eastAsiaTheme="majorEastAsia" w:cstheme="majorBidi"/>
      <w:b/>
      <w:bCs/>
      <w:sz w:val="24"/>
      <w:szCs w:val="24"/>
    </w:rPr>
  </w:style>
  <w:style w:type="paragraph" w:styleId="Heading2">
    <w:name w:val="heading 2"/>
    <w:basedOn w:val="Heading1"/>
    <w:next w:val="Normal"/>
    <w:link w:val="Heading2Char"/>
    <w:uiPriority w:val="9"/>
    <w:unhideWhenUsed/>
    <w:qFormat/>
    <w:rsid w:val="00817798"/>
    <w:pPr>
      <w:numPr>
        <w:ilvl w:val="1"/>
      </w:numPr>
      <w:ind w:left="567" w:hanging="567"/>
      <w:outlineLvl w:val="1"/>
    </w:pPr>
  </w:style>
  <w:style w:type="paragraph" w:styleId="Heading3">
    <w:name w:val="heading 3"/>
    <w:basedOn w:val="Normal"/>
    <w:next w:val="Normal"/>
    <w:link w:val="Heading3Char"/>
    <w:uiPriority w:val="9"/>
    <w:semiHidden/>
    <w:unhideWhenUsed/>
    <w:qFormat/>
    <w:rsid w:val="007723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F0F"/>
    <w:rPr>
      <w:rFonts w:ascii="Tahoma" w:hAnsi="Tahoma" w:cs="Tahoma"/>
      <w:sz w:val="16"/>
      <w:szCs w:val="16"/>
    </w:rPr>
  </w:style>
  <w:style w:type="paragraph" w:customStyle="1" w:styleId="CM14">
    <w:name w:val="CM14"/>
    <w:basedOn w:val="Normal"/>
    <w:next w:val="Normal"/>
    <w:rsid w:val="00C650FF"/>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Default">
    <w:name w:val="Default"/>
    <w:rsid w:val="00C650FF"/>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rsid w:val="00436428"/>
    <w:rPr>
      <w:color w:val="0000FF"/>
      <w:u w:val="single"/>
    </w:rPr>
  </w:style>
  <w:style w:type="paragraph" w:styleId="FootnoteText">
    <w:name w:val="footnote text"/>
    <w:basedOn w:val="Normal"/>
    <w:link w:val="FootnoteTextChar"/>
    <w:uiPriority w:val="99"/>
    <w:semiHidden/>
    <w:unhideWhenUsed/>
    <w:rsid w:val="00DC25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256C"/>
    <w:rPr>
      <w:sz w:val="20"/>
      <w:szCs w:val="20"/>
    </w:rPr>
  </w:style>
  <w:style w:type="character" w:styleId="FootnoteReference">
    <w:name w:val="footnote reference"/>
    <w:basedOn w:val="DefaultParagraphFont"/>
    <w:uiPriority w:val="99"/>
    <w:semiHidden/>
    <w:unhideWhenUsed/>
    <w:rsid w:val="00DC256C"/>
    <w:rPr>
      <w:vertAlign w:val="superscript"/>
    </w:rPr>
  </w:style>
  <w:style w:type="paragraph" w:styleId="Header">
    <w:name w:val="header"/>
    <w:basedOn w:val="Normal"/>
    <w:link w:val="HeaderChar"/>
    <w:uiPriority w:val="99"/>
    <w:unhideWhenUsed/>
    <w:rsid w:val="004A2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98A"/>
  </w:style>
  <w:style w:type="paragraph" w:styleId="Footer">
    <w:name w:val="footer"/>
    <w:basedOn w:val="Normal"/>
    <w:link w:val="FooterChar"/>
    <w:uiPriority w:val="99"/>
    <w:unhideWhenUsed/>
    <w:rsid w:val="004A2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98A"/>
  </w:style>
  <w:style w:type="paragraph" w:styleId="ListParagraph">
    <w:name w:val="List Paragraph"/>
    <w:basedOn w:val="Normal"/>
    <w:uiPriority w:val="34"/>
    <w:qFormat/>
    <w:rsid w:val="003874AA"/>
    <w:pPr>
      <w:ind w:left="720"/>
      <w:contextualSpacing/>
    </w:pPr>
  </w:style>
  <w:style w:type="character" w:customStyle="1" w:styleId="Heading1Char">
    <w:name w:val="Heading 1 Char"/>
    <w:basedOn w:val="DefaultParagraphFont"/>
    <w:link w:val="Heading1"/>
    <w:uiPriority w:val="9"/>
    <w:rsid w:val="00817798"/>
    <w:rPr>
      <w:rFonts w:eastAsiaTheme="majorEastAsia" w:cstheme="majorBidi"/>
      <w:b/>
      <w:bCs/>
      <w:sz w:val="24"/>
      <w:szCs w:val="24"/>
    </w:rPr>
  </w:style>
  <w:style w:type="character" w:customStyle="1" w:styleId="Heading2Char">
    <w:name w:val="Heading 2 Char"/>
    <w:basedOn w:val="DefaultParagraphFont"/>
    <w:link w:val="Heading2"/>
    <w:uiPriority w:val="9"/>
    <w:rsid w:val="00817798"/>
    <w:rPr>
      <w:rFonts w:eastAsiaTheme="majorEastAsia" w:cstheme="majorBidi"/>
      <w:b/>
      <w:bCs/>
      <w:sz w:val="24"/>
      <w:szCs w:val="24"/>
    </w:rPr>
  </w:style>
  <w:style w:type="character" w:customStyle="1" w:styleId="Heading3Char">
    <w:name w:val="Heading 3 Char"/>
    <w:basedOn w:val="DefaultParagraphFont"/>
    <w:link w:val="Heading3"/>
    <w:uiPriority w:val="9"/>
    <w:semiHidden/>
    <w:rsid w:val="00772393"/>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rsid w:val="00772393"/>
    <w:pPr>
      <w:widowControl w:val="0"/>
      <w:suppressAutoHyphens/>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772393"/>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F04B0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454455"/>
    <w:pPr>
      <w:spacing w:after="0" w:line="240" w:lineRule="auto"/>
    </w:pPr>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semiHidden/>
    <w:rsid w:val="00454455"/>
    <w:rPr>
      <w:rFonts w:ascii="Calibri" w:eastAsiaTheme="minorHAnsi" w:hAnsi="Calibri" w:cs="Consolas"/>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7798"/>
    <w:pPr>
      <w:keepNext/>
      <w:keepLines/>
      <w:numPr>
        <w:numId w:val="11"/>
      </w:numPr>
      <w:spacing w:after="0"/>
      <w:ind w:left="567" w:hanging="567"/>
      <w:outlineLvl w:val="0"/>
    </w:pPr>
    <w:rPr>
      <w:rFonts w:eastAsiaTheme="majorEastAsia" w:cstheme="majorBidi"/>
      <w:b/>
      <w:bCs/>
      <w:sz w:val="24"/>
      <w:szCs w:val="24"/>
    </w:rPr>
  </w:style>
  <w:style w:type="paragraph" w:styleId="Heading2">
    <w:name w:val="heading 2"/>
    <w:basedOn w:val="Heading1"/>
    <w:next w:val="Normal"/>
    <w:link w:val="Heading2Char"/>
    <w:uiPriority w:val="9"/>
    <w:unhideWhenUsed/>
    <w:qFormat/>
    <w:rsid w:val="00817798"/>
    <w:pPr>
      <w:numPr>
        <w:ilvl w:val="1"/>
      </w:numPr>
      <w:ind w:left="567" w:hanging="567"/>
      <w:outlineLvl w:val="1"/>
    </w:pPr>
  </w:style>
  <w:style w:type="paragraph" w:styleId="Heading3">
    <w:name w:val="heading 3"/>
    <w:basedOn w:val="Normal"/>
    <w:next w:val="Normal"/>
    <w:link w:val="Heading3Char"/>
    <w:uiPriority w:val="9"/>
    <w:semiHidden/>
    <w:unhideWhenUsed/>
    <w:qFormat/>
    <w:rsid w:val="007723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F0F"/>
    <w:rPr>
      <w:rFonts w:ascii="Tahoma" w:hAnsi="Tahoma" w:cs="Tahoma"/>
      <w:sz w:val="16"/>
      <w:szCs w:val="16"/>
    </w:rPr>
  </w:style>
  <w:style w:type="paragraph" w:customStyle="1" w:styleId="CM14">
    <w:name w:val="CM14"/>
    <w:basedOn w:val="Normal"/>
    <w:next w:val="Normal"/>
    <w:rsid w:val="00C650FF"/>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Default">
    <w:name w:val="Default"/>
    <w:rsid w:val="00C650FF"/>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rsid w:val="00436428"/>
    <w:rPr>
      <w:color w:val="0000FF"/>
      <w:u w:val="single"/>
    </w:rPr>
  </w:style>
  <w:style w:type="paragraph" w:styleId="FootnoteText">
    <w:name w:val="footnote text"/>
    <w:basedOn w:val="Normal"/>
    <w:link w:val="FootnoteTextChar"/>
    <w:uiPriority w:val="99"/>
    <w:semiHidden/>
    <w:unhideWhenUsed/>
    <w:rsid w:val="00DC25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256C"/>
    <w:rPr>
      <w:sz w:val="20"/>
      <w:szCs w:val="20"/>
    </w:rPr>
  </w:style>
  <w:style w:type="character" w:styleId="FootnoteReference">
    <w:name w:val="footnote reference"/>
    <w:basedOn w:val="DefaultParagraphFont"/>
    <w:uiPriority w:val="99"/>
    <w:semiHidden/>
    <w:unhideWhenUsed/>
    <w:rsid w:val="00DC256C"/>
    <w:rPr>
      <w:vertAlign w:val="superscript"/>
    </w:rPr>
  </w:style>
  <w:style w:type="paragraph" w:styleId="Header">
    <w:name w:val="header"/>
    <w:basedOn w:val="Normal"/>
    <w:link w:val="HeaderChar"/>
    <w:uiPriority w:val="99"/>
    <w:unhideWhenUsed/>
    <w:rsid w:val="004A2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98A"/>
  </w:style>
  <w:style w:type="paragraph" w:styleId="Footer">
    <w:name w:val="footer"/>
    <w:basedOn w:val="Normal"/>
    <w:link w:val="FooterChar"/>
    <w:uiPriority w:val="99"/>
    <w:unhideWhenUsed/>
    <w:rsid w:val="004A2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98A"/>
  </w:style>
  <w:style w:type="paragraph" w:styleId="ListParagraph">
    <w:name w:val="List Paragraph"/>
    <w:basedOn w:val="Normal"/>
    <w:uiPriority w:val="34"/>
    <w:qFormat/>
    <w:rsid w:val="003874AA"/>
    <w:pPr>
      <w:ind w:left="720"/>
      <w:contextualSpacing/>
    </w:pPr>
  </w:style>
  <w:style w:type="character" w:customStyle="1" w:styleId="Heading1Char">
    <w:name w:val="Heading 1 Char"/>
    <w:basedOn w:val="DefaultParagraphFont"/>
    <w:link w:val="Heading1"/>
    <w:uiPriority w:val="9"/>
    <w:rsid w:val="00817798"/>
    <w:rPr>
      <w:rFonts w:eastAsiaTheme="majorEastAsia" w:cstheme="majorBidi"/>
      <w:b/>
      <w:bCs/>
      <w:sz w:val="24"/>
      <w:szCs w:val="24"/>
    </w:rPr>
  </w:style>
  <w:style w:type="character" w:customStyle="1" w:styleId="Heading2Char">
    <w:name w:val="Heading 2 Char"/>
    <w:basedOn w:val="DefaultParagraphFont"/>
    <w:link w:val="Heading2"/>
    <w:uiPriority w:val="9"/>
    <w:rsid w:val="00817798"/>
    <w:rPr>
      <w:rFonts w:eastAsiaTheme="majorEastAsia" w:cstheme="majorBidi"/>
      <w:b/>
      <w:bCs/>
      <w:sz w:val="24"/>
      <w:szCs w:val="24"/>
    </w:rPr>
  </w:style>
  <w:style w:type="character" w:customStyle="1" w:styleId="Heading3Char">
    <w:name w:val="Heading 3 Char"/>
    <w:basedOn w:val="DefaultParagraphFont"/>
    <w:link w:val="Heading3"/>
    <w:uiPriority w:val="9"/>
    <w:semiHidden/>
    <w:rsid w:val="00772393"/>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rsid w:val="00772393"/>
    <w:pPr>
      <w:widowControl w:val="0"/>
      <w:suppressAutoHyphens/>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772393"/>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F04B0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454455"/>
    <w:pPr>
      <w:spacing w:after="0" w:line="240" w:lineRule="auto"/>
    </w:pPr>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semiHidden/>
    <w:rsid w:val="00454455"/>
    <w:rPr>
      <w:rFonts w:ascii="Calibri" w:eastAsiaTheme="minorHAnsi" w:hAnsi="Calibri" w:cs="Consolas"/>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67225">
      <w:bodyDiv w:val="1"/>
      <w:marLeft w:val="0"/>
      <w:marRight w:val="0"/>
      <w:marTop w:val="0"/>
      <w:marBottom w:val="0"/>
      <w:divBdr>
        <w:top w:val="none" w:sz="0" w:space="0" w:color="auto"/>
        <w:left w:val="none" w:sz="0" w:space="0" w:color="auto"/>
        <w:bottom w:val="none" w:sz="0" w:space="0" w:color="auto"/>
        <w:right w:val="none" w:sz="0" w:space="0" w:color="auto"/>
      </w:divBdr>
    </w:div>
    <w:div w:id="590549514">
      <w:bodyDiv w:val="1"/>
      <w:marLeft w:val="0"/>
      <w:marRight w:val="0"/>
      <w:marTop w:val="0"/>
      <w:marBottom w:val="0"/>
      <w:divBdr>
        <w:top w:val="none" w:sz="0" w:space="0" w:color="auto"/>
        <w:left w:val="none" w:sz="0" w:space="0" w:color="auto"/>
        <w:bottom w:val="none" w:sz="0" w:space="0" w:color="auto"/>
        <w:right w:val="none" w:sz="0" w:space="0" w:color="auto"/>
      </w:divBdr>
    </w:div>
    <w:div w:id="912351492">
      <w:bodyDiv w:val="1"/>
      <w:marLeft w:val="0"/>
      <w:marRight w:val="0"/>
      <w:marTop w:val="0"/>
      <w:marBottom w:val="0"/>
      <w:divBdr>
        <w:top w:val="none" w:sz="0" w:space="0" w:color="auto"/>
        <w:left w:val="none" w:sz="0" w:space="0" w:color="auto"/>
        <w:bottom w:val="none" w:sz="0" w:space="0" w:color="auto"/>
        <w:right w:val="none" w:sz="0" w:space="0" w:color="auto"/>
      </w:divBdr>
      <w:divsChild>
        <w:div w:id="602080278">
          <w:marLeft w:val="0"/>
          <w:marRight w:val="0"/>
          <w:marTop w:val="0"/>
          <w:marBottom w:val="0"/>
          <w:divBdr>
            <w:top w:val="none" w:sz="0" w:space="0" w:color="auto"/>
            <w:left w:val="none" w:sz="0" w:space="0" w:color="auto"/>
            <w:bottom w:val="none" w:sz="0" w:space="0" w:color="auto"/>
            <w:right w:val="none" w:sz="0" w:space="0" w:color="auto"/>
          </w:divBdr>
          <w:divsChild>
            <w:div w:id="318191617">
              <w:marLeft w:val="0"/>
              <w:marRight w:val="0"/>
              <w:marTop w:val="0"/>
              <w:marBottom w:val="0"/>
              <w:divBdr>
                <w:top w:val="none" w:sz="0" w:space="0" w:color="auto"/>
                <w:left w:val="none" w:sz="0" w:space="0" w:color="auto"/>
                <w:bottom w:val="none" w:sz="0" w:space="0" w:color="auto"/>
                <w:right w:val="none" w:sz="0" w:space="0" w:color="auto"/>
              </w:divBdr>
              <w:divsChild>
                <w:div w:id="1698192911">
                  <w:marLeft w:val="0"/>
                  <w:marRight w:val="0"/>
                  <w:marTop w:val="0"/>
                  <w:marBottom w:val="0"/>
                  <w:divBdr>
                    <w:top w:val="none" w:sz="0" w:space="0" w:color="auto"/>
                    <w:left w:val="none" w:sz="0" w:space="0" w:color="auto"/>
                    <w:bottom w:val="none" w:sz="0" w:space="0" w:color="auto"/>
                    <w:right w:val="none" w:sz="0" w:space="0" w:color="auto"/>
                  </w:divBdr>
                  <w:divsChild>
                    <w:div w:id="1139305315">
                      <w:marLeft w:val="0"/>
                      <w:marRight w:val="0"/>
                      <w:marTop w:val="0"/>
                      <w:marBottom w:val="0"/>
                      <w:divBdr>
                        <w:top w:val="none" w:sz="0" w:space="0" w:color="auto"/>
                        <w:left w:val="none" w:sz="0" w:space="0" w:color="auto"/>
                        <w:bottom w:val="none" w:sz="0" w:space="0" w:color="auto"/>
                        <w:right w:val="none" w:sz="0" w:space="0" w:color="auto"/>
                      </w:divBdr>
                      <w:divsChild>
                        <w:div w:id="1291328552">
                          <w:marLeft w:val="0"/>
                          <w:marRight w:val="0"/>
                          <w:marTop w:val="0"/>
                          <w:marBottom w:val="0"/>
                          <w:divBdr>
                            <w:top w:val="none" w:sz="0" w:space="0" w:color="auto"/>
                            <w:left w:val="none" w:sz="0" w:space="0" w:color="auto"/>
                            <w:bottom w:val="none" w:sz="0" w:space="0" w:color="auto"/>
                            <w:right w:val="none" w:sz="0" w:space="0" w:color="auto"/>
                          </w:divBdr>
                          <w:divsChild>
                            <w:div w:id="1778450487">
                              <w:marLeft w:val="0"/>
                              <w:marRight w:val="0"/>
                              <w:marTop w:val="0"/>
                              <w:marBottom w:val="0"/>
                              <w:divBdr>
                                <w:top w:val="none" w:sz="0" w:space="0" w:color="auto"/>
                                <w:left w:val="none" w:sz="0" w:space="0" w:color="auto"/>
                                <w:bottom w:val="none" w:sz="0" w:space="0" w:color="auto"/>
                                <w:right w:val="none" w:sz="0" w:space="0" w:color="auto"/>
                              </w:divBdr>
                              <w:divsChild>
                                <w:div w:id="4680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244059">
      <w:bodyDiv w:val="1"/>
      <w:marLeft w:val="0"/>
      <w:marRight w:val="0"/>
      <w:marTop w:val="0"/>
      <w:marBottom w:val="0"/>
      <w:divBdr>
        <w:top w:val="none" w:sz="0" w:space="0" w:color="auto"/>
        <w:left w:val="none" w:sz="0" w:space="0" w:color="auto"/>
        <w:bottom w:val="none" w:sz="0" w:space="0" w:color="auto"/>
        <w:right w:val="none" w:sz="0" w:space="0" w:color="auto"/>
      </w:divBdr>
    </w:div>
    <w:div w:id="1646739435">
      <w:bodyDiv w:val="1"/>
      <w:marLeft w:val="0"/>
      <w:marRight w:val="0"/>
      <w:marTop w:val="0"/>
      <w:marBottom w:val="0"/>
      <w:divBdr>
        <w:top w:val="none" w:sz="0" w:space="0" w:color="auto"/>
        <w:left w:val="none" w:sz="0" w:space="0" w:color="auto"/>
        <w:bottom w:val="none" w:sz="0" w:space="0" w:color="auto"/>
        <w:right w:val="none" w:sz="0" w:space="0" w:color="auto"/>
      </w:divBdr>
    </w:div>
    <w:div w:id="201268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5728A-C324-4930-9239-E68545D06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Cleaver</dc:creator>
  <cp:lastModifiedBy>Cleaver Katie (RNU) Oxford Health</cp:lastModifiedBy>
  <cp:revision>20</cp:revision>
  <cp:lastPrinted>2014-04-30T11:53:00Z</cp:lastPrinted>
  <dcterms:created xsi:type="dcterms:W3CDTF">2015-05-06T09:49:00Z</dcterms:created>
  <dcterms:modified xsi:type="dcterms:W3CDTF">2015-05-11T08:27:00Z</dcterms:modified>
</cp:coreProperties>
</file>