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5B71DA"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39793F">
      <w:pPr>
        <w:jc w:val="center"/>
        <w:rPr>
          <w:rFonts w:ascii="Frutiger" w:hAnsi="Frutiger"/>
        </w:rPr>
      </w:pPr>
      <w:r w:rsidRPr="0039793F">
        <w:rPr>
          <w:noProof/>
          <w:sz w:val="20"/>
        </w:rPr>
        <w:pict>
          <v:rect id="_x0000_s1034" style="position:absolute;left:0;text-align:left;margin-left:324pt;margin-top:4.05pt;width:108pt;height:45pt;z-index:251657728">
            <v:textbox inset="0,0,0,0">
              <w:txbxContent>
                <w:p w:rsidR="001C17B4" w:rsidRDefault="001C17B4">
                  <w:pPr>
                    <w:pStyle w:val="Heading1"/>
                    <w:jc w:val="center"/>
                    <w:rPr>
                      <w:sz w:val="24"/>
                      <w:u w:val="none"/>
                    </w:rPr>
                  </w:pPr>
                  <w:r>
                    <w:rPr>
                      <w:sz w:val="24"/>
                      <w:u w:val="none"/>
                    </w:rPr>
                    <w:t>PAPER</w:t>
                  </w:r>
                </w:p>
                <w:p w:rsidR="001C17B4" w:rsidRDefault="001C17B4">
                  <w:pPr>
                    <w:pStyle w:val="BodyText"/>
                    <w:rPr>
                      <w:sz w:val="22"/>
                    </w:rPr>
                  </w:pPr>
                  <w:r>
                    <w:rPr>
                      <w:sz w:val="22"/>
                    </w:rPr>
                    <w:t xml:space="preserve">BOD </w:t>
                  </w:r>
                  <w:r w:rsidR="00527D5A">
                    <w:rPr>
                      <w:sz w:val="22"/>
                    </w:rPr>
                    <w:t>128</w:t>
                  </w:r>
                  <w:r>
                    <w:rPr>
                      <w:sz w:val="22"/>
                    </w:rPr>
                    <w:t>/2014</w:t>
                  </w:r>
                </w:p>
                <w:p w:rsidR="001C17B4" w:rsidRPr="00537C23" w:rsidRDefault="001C17B4">
                  <w:pPr>
                    <w:jc w:val="center"/>
                    <w:rPr>
                      <w:rFonts w:ascii="Arial" w:hAnsi="Arial" w:cs="Arial"/>
                      <w:sz w:val="20"/>
                      <w:szCs w:val="20"/>
                    </w:rPr>
                  </w:pPr>
                  <w:r>
                    <w:rPr>
                      <w:rFonts w:ascii="Arial" w:hAnsi="Arial" w:cs="Arial"/>
                      <w:sz w:val="20"/>
                      <w:szCs w:val="20"/>
                    </w:rPr>
                    <w:t xml:space="preserve">(Agenda Item: </w:t>
                  </w:r>
                  <w:r w:rsidR="00527D5A">
                    <w:rPr>
                      <w:rFonts w:ascii="Arial" w:hAnsi="Arial" w:cs="Arial"/>
                      <w:sz w:val="20"/>
                      <w:szCs w:val="20"/>
                    </w:rPr>
                    <w:t>16</w:t>
                  </w:r>
                  <w:r>
                    <w:rPr>
                      <w:rFonts w:ascii="Arial" w:hAnsi="Arial" w:cs="Arial"/>
                      <w:sz w:val="20"/>
                      <w:szCs w:val="20"/>
                    </w:rPr>
                    <w:t>)</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37C23" w:rsidRDefault="00537C23" w:rsidP="00537C23">
      <w:pPr>
        <w:rPr>
          <w:rFonts w:ascii="Arial" w:hAnsi="Arial" w:cs="Arial"/>
          <w:b/>
        </w:rPr>
      </w:pPr>
    </w:p>
    <w:p w:rsidR="00537C23" w:rsidRDefault="00146198" w:rsidP="00537C23">
      <w:pPr>
        <w:jc w:val="center"/>
        <w:rPr>
          <w:rFonts w:ascii="Arial" w:hAnsi="Arial" w:cs="Arial"/>
          <w:b/>
        </w:rPr>
      </w:pPr>
      <w:r>
        <w:rPr>
          <w:rFonts w:ascii="Arial" w:hAnsi="Arial" w:cs="Arial"/>
          <w:b/>
        </w:rPr>
        <w:t>24 October</w:t>
      </w:r>
      <w:r w:rsidR="00432E50">
        <w:rPr>
          <w:rFonts w:ascii="Arial" w:hAnsi="Arial" w:cs="Arial"/>
          <w:b/>
        </w:rPr>
        <w:t xml:space="preserve"> 2014</w:t>
      </w:r>
    </w:p>
    <w:p w:rsidR="00537C23" w:rsidRDefault="00537C23" w:rsidP="00537C23">
      <w:pPr>
        <w:jc w:val="center"/>
        <w:rPr>
          <w:rFonts w:ascii="Arial" w:hAnsi="Arial" w:cs="Arial"/>
          <w:b/>
        </w:rPr>
      </w:pPr>
    </w:p>
    <w:p w:rsidR="00537C23" w:rsidRDefault="00537C23" w:rsidP="00537C23">
      <w:pPr>
        <w:jc w:val="center"/>
        <w:rPr>
          <w:rFonts w:ascii="Arial" w:hAnsi="Arial" w:cs="Arial"/>
          <w:b/>
        </w:rPr>
      </w:pPr>
      <w:r>
        <w:rPr>
          <w:rFonts w:ascii="Arial" w:hAnsi="Arial" w:cs="Arial"/>
          <w:b/>
        </w:rPr>
        <w:t xml:space="preserve">In-Year Submission to </w:t>
      </w:r>
      <w:r w:rsidRPr="00636DFE">
        <w:rPr>
          <w:rFonts w:ascii="Arial" w:hAnsi="Arial" w:cs="Arial"/>
          <w:b/>
        </w:rPr>
        <w:t xml:space="preserve">Monitor </w:t>
      </w:r>
      <w:r>
        <w:rPr>
          <w:rFonts w:ascii="Arial" w:hAnsi="Arial" w:cs="Arial"/>
          <w:b/>
        </w:rPr>
        <w:t xml:space="preserve">– </w:t>
      </w:r>
      <w:r w:rsidRPr="00636DFE">
        <w:rPr>
          <w:rFonts w:ascii="Arial" w:hAnsi="Arial" w:cs="Arial"/>
          <w:b/>
        </w:rPr>
        <w:t xml:space="preserve">Quarter </w:t>
      </w:r>
      <w:r w:rsidR="00146198">
        <w:rPr>
          <w:rFonts w:ascii="Arial" w:hAnsi="Arial" w:cs="Arial"/>
          <w:b/>
        </w:rPr>
        <w:t>2</w:t>
      </w:r>
      <w:r>
        <w:rPr>
          <w:rFonts w:ascii="Arial" w:hAnsi="Arial" w:cs="Arial"/>
          <w:b/>
        </w:rPr>
        <w:t xml:space="preserve"> </w:t>
      </w:r>
      <w:r w:rsidR="0063370D">
        <w:rPr>
          <w:rFonts w:ascii="Arial" w:hAnsi="Arial" w:cs="Arial"/>
          <w:b/>
        </w:rPr>
        <w:t>2014/15</w:t>
      </w:r>
      <w:r>
        <w:rPr>
          <w:rFonts w:ascii="Arial" w:hAnsi="Arial" w:cs="Arial"/>
          <w:b/>
        </w:rPr>
        <w:t xml:space="preserve"> </w:t>
      </w:r>
      <w:r w:rsidRPr="00636DFE">
        <w:rPr>
          <w:rFonts w:ascii="Arial" w:hAnsi="Arial" w:cs="Arial"/>
          <w:b/>
        </w:rPr>
        <w:t>Report</w:t>
      </w:r>
      <w:r w:rsidR="007338A7">
        <w:rPr>
          <w:rFonts w:ascii="Arial" w:hAnsi="Arial" w:cs="Arial"/>
          <w:b/>
        </w:rPr>
        <w:t xml:space="preserve"> </w:t>
      </w:r>
    </w:p>
    <w:p w:rsidR="00537C23" w:rsidRDefault="00537C23" w:rsidP="00537C23">
      <w:pPr>
        <w:rPr>
          <w:rFonts w:ascii="Arial" w:hAnsi="Arial" w:cs="Arial"/>
          <w:b/>
        </w:rPr>
      </w:pPr>
    </w:p>
    <w:p w:rsidR="007338A7" w:rsidRDefault="007338A7" w:rsidP="00537C23">
      <w:pPr>
        <w:rPr>
          <w:rFonts w:ascii="Arial" w:hAnsi="Arial" w:cs="Arial"/>
          <w:b/>
        </w:rPr>
      </w:pPr>
    </w:p>
    <w:p w:rsidR="00537C23" w:rsidRPr="00226DFB" w:rsidRDefault="00537C23" w:rsidP="00537C23">
      <w:pPr>
        <w:rPr>
          <w:rFonts w:ascii="Arial" w:hAnsi="Arial" w:cs="Arial"/>
          <w:b/>
          <w:u w:val="single"/>
        </w:rPr>
      </w:pPr>
      <w:r w:rsidRPr="00226DFB">
        <w:rPr>
          <w:rFonts w:ascii="Arial" w:hAnsi="Arial" w:cs="Arial"/>
          <w:b/>
          <w:u w:val="single"/>
        </w:rPr>
        <w:t>For Approval</w:t>
      </w:r>
    </w:p>
    <w:p w:rsidR="007338A7" w:rsidRDefault="007338A7" w:rsidP="00537C23">
      <w:pPr>
        <w:rPr>
          <w:rFonts w:ascii="Arial" w:hAnsi="Arial" w:cs="Arial"/>
          <w:b/>
        </w:rPr>
      </w:pPr>
    </w:p>
    <w:p w:rsidR="000F1A75" w:rsidRDefault="000F1A75" w:rsidP="00537C23">
      <w:pPr>
        <w:rPr>
          <w:rFonts w:ascii="Arial" w:hAnsi="Arial" w:cs="Arial"/>
          <w:b/>
        </w:rPr>
      </w:pPr>
    </w:p>
    <w:p w:rsidR="00537C23" w:rsidRDefault="00537C23" w:rsidP="00537C23">
      <w:pPr>
        <w:jc w:val="both"/>
        <w:rPr>
          <w:rFonts w:ascii="Arial" w:hAnsi="Arial" w:cs="Arial"/>
          <w:b/>
        </w:rPr>
      </w:pPr>
      <w:r w:rsidRPr="00F111B9">
        <w:rPr>
          <w:rFonts w:ascii="Arial" w:hAnsi="Arial" w:cs="Arial"/>
          <w:b/>
        </w:rPr>
        <w:t>Executive Summary</w:t>
      </w:r>
    </w:p>
    <w:p w:rsidR="00537C23" w:rsidRDefault="00537C23" w:rsidP="00537C23">
      <w:pPr>
        <w:jc w:val="both"/>
        <w:rPr>
          <w:rFonts w:ascii="Arial" w:hAnsi="Arial" w:cs="Arial"/>
        </w:rPr>
      </w:pPr>
      <w:r>
        <w:rPr>
          <w:rFonts w:ascii="Arial" w:hAnsi="Arial" w:cs="Arial"/>
        </w:rPr>
        <w:t xml:space="preserve">Under the </w:t>
      </w:r>
      <w:r w:rsidR="00432E50">
        <w:rPr>
          <w:rFonts w:ascii="Arial" w:hAnsi="Arial" w:cs="Arial"/>
        </w:rPr>
        <w:t xml:space="preserve">Risk Assessment </w:t>
      </w:r>
      <w:r>
        <w:rPr>
          <w:rFonts w:ascii="Arial" w:hAnsi="Arial" w:cs="Arial"/>
        </w:rPr>
        <w:t>Framework</w:t>
      </w:r>
      <w:r w:rsidR="009E4327">
        <w:rPr>
          <w:rFonts w:ascii="Arial" w:hAnsi="Arial" w:cs="Arial"/>
        </w:rPr>
        <w:t xml:space="preserve"> </w:t>
      </w:r>
      <w:r w:rsidR="00FB11B0">
        <w:rPr>
          <w:rFonts w:ascii="Arial" w:hAnsi="Arial" w:cs="Arial"/>
        </w:rPr>
        <w:t>2014/15</w:t>
      </w:r>
      <w:r>
        <w:rPr>
          <w:rFonts w:ascii="Arial" w:hAnsi="Arial" w:cs="Arial"/>
        </w:rPr>
        <w:t>, the Trust is required to provide in-year reports on a quarterly basis.  These submissions include quarterly financials, year to date financials and self certification</w:t>
      </w:r>
      <w:r w:rsidR="00A2776E">
        <w:rPr>
          <w:rFonts w:ascii="Arial" w:hAnsi="Arial" w:cs="Arial"/>
        </w:rPr>
        <w:t xml:space="preserve"> that all targets have been met.  Exception / update reports should be provided where necessary.</w:t>
      </w:r>
      <w:r>
        <w:rPr>
          <w:rFonts w:ascii="Arial" w:hAnsi="Arial" w:cs="Arial"/>
        </w:rPr>
        <w:t xml:space="preserve"> </w:t>
      </w:r>
    </w:p>
    <w:p w:rsidR="00FB11B0" w:rsidRDefault="00FB11B0" w:rsidP="00537C23">
      <w:pPr>
        <w:jc w:val="both"/>
        <w:rPr>
          <w:rFonts w:ascii="Arial" w:hAnsi="Arial" w:cs="Arial"/>
        </w:rPr>
      </w:pPr>
    </w:p>
    <w:p w:rsidR="00FB11B0" w:rsidRDefault="00FB11B0" w:rsidP="00537C23">
      <w:pPr>
        <w:jc w:val="both"/>
        <w:rPr>
          <w:rFonts w:ascii="Arial" w:hAnsi="Arial" w:cs="Arial"/>
        </w:rPr>
      </w:pPr>
      <w:r>
        <w:rPr>
          <w:rFonts w:ascii="Arial" w:hAnsi="Arial" w:cs="Arial"/>
        </w:rPr>
        <w:t xml:space="preserve">As reported to Board in October 2013, the Risk Assessment Framework replaced the </w:t>
      </w:r>
      <w:r>
        <w:rPr>
          <w:rFonts w:ascii="Arial" w:hAnsi="Arial" w:cs="Arial"/>
          <w:i/>
        </w:rPr>
        <w:t>Compliance Framework</w:t>
      </w:r>
      <w:r>
        <w:rPr>
          <w:rFonts w:ascii="Arial" w:hAnsi="Arial" w:cs="Arial"/>
        </w:rPr>
        <w:t xml:space="preserve"> from 1 October 2013.  In April 2014, following consultation, Monitor updated Appendix C only of the Framework, which relates to NHS foundation trust transactions.  A full copy of the current Framework may be found here:-</w:t>
      </w:r>
    </w:p>
    <w:p w:rsidR="00FB11B0" w:rsidRDefault="00FB11B0" w:rsidP="00537C23">
      <w:pPr>
        <w:jc w:val="both"/>
        <w:rPr>
          <w:rFonts w:ascii="Arial" w:hAnsi="Arial" w:cs="Arial"/>
        </w:rPr>
      </w:pPr>
    </w:p>
    <w:p w:rsidR="00FB11B0" w:rsidRPr="00FB11B0" w:rsidRDefault="0039793F" w:rsidP="00537C23">
      <w:pPr>
        <w:jc w:val="both"/>
        <w:rPr>
          <w:rFonts w:ascii="Arial" w:hAnsi="Arial" w:cs="Arial"/>
        </w:rPr>
      </w:pPr>
      <w:hyperlink r:id="rId9" w:history="1">
        <w:r w:rsidR="00FB11B0" w:rsidRPr="00135E43">
          <w:rPr>
            <w:rStyle w:val="Hyperlink"/>
            <w:rFonts w:ascii="Arial" w:hAnsi="Arial" w:cs="Arial"/>
          </w:rPr>
          <w:t>https://www.gov.uk/government/uploads/system/uploads/attachment_data/file/299929/RAF_Update_AppC_1April14.pdf</w:t>
        </w:r>
      </w:hyperlink>
      <w:r w:rsidR="00FB11B0">
        <w:rPr>
          <w:rFonts w:ascii="Arial" w:hAnsi="Arial" w:cs="Arial"/>
        </w:rPr>
        <w:t xml:space="preserve"> </w:t>
      </w:r>
    </w:p>
    <w:p w:rsidR="00537C23" w:rsidRDefault="00537C23" w:rsidP="00537C23">
      <w:pPr>
        <w:jc w:val="both"/>
        <w:rPr>
          <w:rFonts w:ascii="Arial" w:hAnsi="Arial" w:cs="Arial"/>
        </w:rPr>
      </w:pPr>
    </w:p>
    <w:p w:rsidR="000F1A75" w:rsidRDefault="000F1A75" w:rsidP="00537C23">
      <w:pPr>
        <w:jc w:val="both"/>
        <w:rPr>
          <w:rFonts w:ascii="Arial" w:hAnsi="Arial" w:cs="Arial"/>
        </w:rPr>
      </w:pPr>
      <w:r>
        <w:rPr>
          <w:rFonts w:ascii="Arial" w:hAnsi="Arial" w:cs="Arial"/>
        </w:rPr>
        <w:t>Section 1 of this report set</w:t>
      </w:r>
      <w:r w:rsidR="00983DAC">
        <w:rPr>
          <w:rFonts w:ascii="Arial" w:hAnsi="Arial" w:cs="Arial"/>
        </w:rPr>
        <w:t>s</w:t>
      </w:r>
      <w:r>
        <w:rPr>
          <w:rFonts w:ascii="Arial" w:hAnsi="Arial" w:cs="Arial"/>
        </w:rPr>
        <w:t xml:space="preserve"> out the </w:t>
      </w:r>
      <w:r w:rsidR="00FB11B0">
        <w:rPr>
          <w:rFonts w:ascii="Arial" w:hAnsi="Arial" w:cs="Arial"/>
        </w:rPr>
        <w:t>2014/15</w:t>
      </w:r>
      <w:r>
        <w:rPr>
          <w:rFonts w:ascii="Arial" w:hAnsi="Arial" w:cs="Arial"/>
        </w:rPr>
        <w:t xml:space="preserve"> monitoring requirements for FTs, including information on the quarterly submissions</w:t>
      </w:r>
      <w:r w:rsidR="003145DD">
        <w:rPr>
          <w:rFonts w:ascii="Arial" w:hAnsi="Arial" w:cs="Arial"/>
        </w:rPr>
        <w:t>.</w:t>
      </w:r>
    </w:p>
    <w:p w:rsidR="000F1A75" w:rsidRDefault="000F1A75" w:rsidP="00537C23">
      <w:pPr>
        <w:jc w:val="both"/>
        <w:rPr>
          <w:rFonts w:ascii="Arial" w:hAnsi="Arial" w:cs="Arial"/>
        </w:rPr>
      </w:pPr>
    </w:p>
    <w:p w:rsidR="00537C23" w:rsidRDefault="000F1A75" w:rsidP="00537C23">
      <w:pPr>
        <w:jc w:val="both"/>
        <w:rPr>
          <w:rFonts w:ascii="Arial" w:hAnsi="Arial" w:cs="Arial"/>
        </w:rPr>
      </w:pPr>
      <w:r>
        <w:rPr>
          <w:rFonts w:ascii="Arial" w:hAnsi="Arial" w:cs="Arial"/>
        </w:rPr>
        <w:t>Section 2 of this report sets out the Trust’s proposed Q</w:t>
      </w:r>
      <w:r w:rsidR="00022B45">
        <w:rPr>
          <w:rFonts w:ascii="Arial" w:hAnsi="Arial" w:cs="Arial"/>
        </w:rPr>
        <w:t xml:space="preserve">uarter </w:t>
      </w:r>
      <w:r w:rsidR="001C17B4">
        <w:rPr>
          <w:rFonts w:ascii="Arial" w:hAnsi="Arial" w:cs="Arial"/>
        </w:rPr>
        <w:t>2</w:t>
      </w:r>
      <w:r>
        <w:rPr>
          <w:rFonts w:ascii="Arial" w:hAnsi="Arial" w:cs="Arial"/>
        </w:rPr>
        <w:t xml:space="preserve"> submission to Monitor.    </w:t>
      </w:r>
      <w:r w:rsidR="00537C23">
        <w:rPr>
          <w:rFonts w:ascii="Arial" w:hAnsi="Arial" w:cs="Arial"/>
        </w:rPr>
        <w:t xml:space="preserve">The submission date is </w:t>
      </w:r>
      <w:r w:rsidR="00FB11B0">
        <w:rPr>
          <w:rFonts w:ascii="Arial" w:hAnsi="Arial" w:cs="Arial"/>
        </w:rPr>
        <w:t xml:space="preserve">31 </w:t>
      </w:r>
      <w:r w:rsidR="001C17B4">
        <w:rPr>
          <w:rFonts w:ascii="Arial" w:hAnsi="Arial" w:cs="Arial"/>
        </w:rPr>
        <w:t>October</w:t>
      </w:r>
      <w:r w:rsidR="00432E50">
        <w:rPr>
          <w:rFonts w:ascii="Arial" w:hAnsi="Arial" w:cs="Arial"/>
        </w:rPr>
        <w:t xml:space="preserve"> 2014</w:t>
      </w:r>
      <w:r w:rsidR="00537C23">
        <w:rPr>
          <w:rFonts w:ascii="Arial" w:hAnsi="Arial" w:cs="Arial"/>
        </w:rPr>
        <w:t>.</w:t>
      </w:r>
    </w:p>
    <w:p w:rsidR="00A2776E" w:rsidRDefault="00A2776E" w:rsidP="007338A7">
      <w:pPr>
        <w:jc w:val="both"/>
        <w:rPr>
          <w:rFonts w:ascii="Arial" w:hAnsi="Arial" w:cs="Arial"/>
        </w:rPr>
      </w:pPr>
    </w:p>
    <w:p w:rsidR="00FB11B0" w:rsidRDefault="00FB11B0" w:rsidP="007338A7">
      <w:pPr>
        <w:jc w:val="both"/>
        <w:rPr>
          <w:rFonts w:ascii="Arial" w:hAnsi="Arial" w:cs="Arial"/>
        </w:rPr>
      </w:pPr>
    </w:p>
    <w:p w:rsidR="00FB11B0" w:rsidRDefault="00FB11B0" w:rsidP="007338A7">
      <w:pPr>
        <w:jc w:val="both"/>
        <w:rPr>
          <w:rFonts w:ascii="Arial" w:hAnsi="Arial" w:cs="Arial"/>
        </w:rPr>
      </w:pPr>
    </w:p>
    <w:p w:rsidR="00FB11B0" w:rsidRDefault="00FB11B0" w:rsidP="007338A7">
      <w:pPr>
        <w:jc w:val="both"/>
        <w:rPr>
          <w:rFonts w:ascii="Arial" w:hAnsi="Arial" w:cs="Arial"/>
        </w:rPr>
      </w:pPr>
    </w:p>
    <w:p w:rsidR="000F1A75" w:rsidRDefault="000F1A75" w:rsidP="007338A7">
      <w:pPr>
        <w:jc w:val="both"/>
        <w:rPr>
          <w:rFonts w:ascii="Arial" w:hAnsi="Arial" w:cs="Arial"/>
        </w:rPr>
      </w:pPr>
    </w:p>
    <w:p w:rsidR="007338A7" w:rsidRDefault="007338A7" w:rsidP="007338A7">
      <w:pPr>
        <w:jc w:val="both"/>
        <w:rPr>
          <w:rFonts w:ascii="Arial" w:hAnsi="Arial" w:cs="Arial"/>
          <w:b/>
        </w:rPr>
      </w:pPr>
      <w:r>
        <w:rPr>
          <w:rFonts w:ascii="Arial" w:hAnsi="Arial" w:cs="Arial"/>
          <w:b/>
        </w:rPr>
        <w:lastRenderedPageBreak/>
        <w:t>Recommendation</w:t>
      </w:r>
    </w:p>
    <w:p w:rsidR="007338A7" w:rsidRDefault="007338A7" w:rsidP="007338A7">
      <w:pPr>
        <w:jc w:val="both"/>
        <w:rPr>
          <w:rFonts w:ascii="Arial" w:hAnsi="Arial" w:cs="Arial"/>
        </w:rPr>
      </w:pPr>
      <w:r>
        <w:rPr>
          <w:rFonts w:ascii="Arial" w:hAnsi="Arial" w:cs="Arial"/>
        </w:rPr>
        <w:t xml:space="preserve">The Board is asked to note what the Trust should report to </w:t>
      </w:r>
      <w:proofErr w:type="gramStart"/>
      <w:r>
        <w:rPr>
          <w:rFonts w:ascii="Arial" w:hAnsi="Arial" w:cs="Arial"/>
        </w:rPr>
        <w:t>Monitor</w:t>
      </w:r>
      <w:proofErr w:type="gramEnd"/>
      <w:r>
        <w:rPr>
          <w:rFonts w:ascii="Arial" w:hAnsi="Arial" w:cs="Arial"/>
        </w:rPr>
        <w:t xml:space="preserve"> as part of the quarterly in-year submission.</w:t>
      </w:r>
    </w:p>
    <w:p w:rsidR="007338A7" w:rsidRDefault="007338A7" w:rsidP="007338A7">
      <w:pPr>
        <w:jc w:val="both"/>
        <w:rPr>
          <w:rFonts w:ascii="Arial" w:hAnsi="Arial" w:cs="Arial"/>
        </w:rPr>
      </w:pPr>
    </w:p>
    <w:p w:rsidR="007338A7" w:rsidRDefault="007338A7" w:rsidP="007338A7">
      <w:pPr>
        <w:jc w:val="both"/>
        <w:rPr>
          <w:rFonts w:ascii="Arial" w:hAnsi="Arial" w:cs="Arial"/>
        </w:rPr>
      </w:pPr>
      <w:r>
        <w:rPr>
          <w:rFonts w:ascii="Arial" w:hAnsi="Arial" w:cs="Arial"/>
        </w:rPr>
        <w:t xml:space="preserve">The Board is asked to comment on and approve the Quarter </w:t>
      </w:r>
      <w:r w:rsidR="001C17B4">
        <w:rPr>
          <w:rFonts w:ascii="Arial" w:hAnsi="Arial" w:cs="Arial"/>
        </w:rPr>
        <w:t>2</w:t>
      </w:r>
      <w:r w:rsidR="00780788">
        <w:rPr>
          <w:rFonts w:ascii="Arial" w:hAnsi="Arial" w:cs="Arial"/>
        </w:rPr>
        <w:t xml:space="preserve"> submission to Monitor.</w:t>
      </w:r>
    </w:p>
    <w:p w:rsidR="00780788" w:rsidRDefault="00780788" w:rsidP="007338A7">
      <w:pPr>
        <w:jc w:val="both"/>
        <w:rPr>
          <w:rFonts w:ascii="Arial" w:hAnsi="Arial" w:cs="Arial"/>
        </w:rPr>
      </w:pPr>
    </w:p>
    <w:p w:rsidR="00780788" w:rsidRDefault="00780788" w:rsidP="007338A7">
      <w:pPr>
        <w:jc w:val="both"/>
        <w:rPr>
          <w:rFonts w:ascii="Arial" w:hAnsi="Arial" w:cs="Arial"/>
        </w:rPr>
      </w:pPr>
      <w:r>
        <w:rPr>
          <w:rFonts w:ascii="Arial" w:hAnsi="Arial" w:cs="Arial"/>
        </w:rPr>
        <w:t xml:space="preserve">As part of the </w:t>
      </w:r>
      <w:r w:rsidR="00022B45">
        <w:rPr>
          <w:rFonts w:ascii="Arial" w:hAnsi="Arial" w:cs="Arial"/>
        </w:rPr>
        <w:t xml:space="preserve">Quarter </w:t>
      </w:r>
      <w:r w:rsidR="001C17B4">
        <w:rPr>
          <w:rFonts w:ascii="Arial" w:hAnsi="Arial" w:cs="Arial"/>
        </w:rPr>
        <w:t>2</w:t>
      </w:r>
      <w:r w:rsidR="001507EF">
        <w:rPr>
          <w:rFonts w:ascii="Arial" w:hAnsi="Arial" w:cs="Arial"/>
        </w:rPr>
        <w:t xml:space="preserve"> </w:t>
      </w:r>
      <w:r>
        <w:rPr>
          <w:rFonts w:ascii="Arial" w:hAnsi="Arial" w:cs="Arial"/>
        </w:rPr>
        <w:t xml:space="preserve">submission, the Board is asked to </w:t>
      </w:r>
      <w:r w:rsidR="000F4E17">
        <w:rPr>
          <w:rFonts w:ascii="Arial" w:hAnsi="Arial" w:cs="Arial"/>
        </w:rPr>
        <w:t xml:space="preserve">consider </w:t>
      </w:r>
      <w:r w:rsidR="000F1A75">
        <w:rPr>
          <w:rFonts w:ascii="Arial" w:hAnsi="Arial" w:cs="Arial"/>
        </w:rPr>
        <w:t>the following statements:-</w:t>
      </w:r>
    </w:p>
    <w:p w:rsidR="000F1A75" w:rsidRPr="000F1A75" w:rsidRDefault="000F1A75" w:rsidP="000F1A75">
      <w:pPr>
        <w:pStyle w:val="ListParagraph"/>
        <w:numPr>
          <w:ilvl w:val="0"/>
          <w:numId w:val="20"/>
        </w:numPr>
        <w:jc w:val="both"/>
        <w:rPr>
          <w:rFonts w:ascii="Arial" w:hAnsi="Arial" w:cs="Arial"/>
        </w:rPr>
      </w:pPr>
      <w:r>
        <w:rPr>
          <w:rFonts w:ascii="Arial" w:hAnsi="Arial" w:cs="Arial"/>
        </w:rPr>
        <w:t>The Board anticipates that the T</w:t>
      </w:r>
      <w:r w:rsidRPr="00593399">
        <w:rPr>
          <w:rFonts w:ascii="Arial" w:hAnsi="Arial" w:cs="Arial"/>
        </w:rPr>
        <w:t xml:space="preserve">rust will continue to maintain a </w:t>
      </w:r>
      <w:r w:rsidR="00432E50">
        <w:rPr>
          <w:rFonts w:ascii="Arial" w:hAnsi="Arial" w:cs="Arial"/>
        </w:rPr>
        <w:t>Continuity of Service risk rating</w:t>
      </w:r>
      <w:r w:rsidRPr="00593399">
        <w:rPr>
          <w:rFonts w:ascii="Arial" w:hAnsi="Arial" w:cs="Arial"/>
        </w:rPr>
        <w:t xml:space="preserve"> of at l</w:t>
      </w:r>
      <w:r>
        <w:rPr>
          <w:rFonts w:ascii="Arial" w:hAnsi="Arial" w:cs="Arial"/>
        </w:rPr>
        <w:t>east 3 over the next 12 months.</w:t>
      </w:r>
    </w:p>
    <w:p w:rsidR="000F1A75" w:rsidRPr="00593399" w:rsidRDefault="000F1A75" w:rsidP="000F1A75">
      <w:pPr>
        <w:pStyle w:val="ListParagraph"/>
        <w:numPr>
          <w:ilvl w:val="0"/>
          <w:numId w:val="20"/>
        </w:numPr>
        <w:jc w:val="both"/>
        <w:rPr>
          <w:rFonts w:ascii="Arial" w:hAnsi="Arial" w:cs="Arial"/>
        </w:rPr>
      </w:pPr>
      <w:r>
        <w:rPr>
          <w:rFonts w:ascii="Arial" w:hAnsi="Arial" w:cs="Arial"/>
        </w:rPr>
        <w:t xml:space="preserve">The Board is satisfied that plans in place are sufficient to ensure ongoing compliance with all existing targets (after the application of thresholds) </w:t>
      </w:r>
      <w:r w:rsidR="00432E50">
        <w:rPr>
          <w:rFonts w:ascii="Arial" w:hAnsi="Arial" w:cs="Arial"/>
        </w:rPr>
        <w:t>as set out in Appendix A of the Risk Assessment Framework; and a commitment to comply with all known existing targets going forwards.</w:t>
      </w:r>
    </w:p>
    <w:p w:rsidR="000F1A75" w:rsidRDefault="000F1A75" w:rsidP="007338A7">
      <w:pPr>
        <w:jc w:val="both"/>
        <w:rPr>
          <w:rFonts w:ascii="Arial" w:hAnsi="Arial" w:cs="Arial"/>
        </w:rPr>
      </w:pPr>
    </w:p>
    <w:p w:rsidR="007338A7" w:rsidRDefault="007338A7" w:rsidP="007338A7">
      <w:pPr>
        <w:jc w:val="both"/>
        <w:rPr>
          <w:rFonts w:ascii="Arial" w:hAnsi="Arial" w:cs="Arial"/>
          <w:b/>
        </w:rPr>
      </w:pPr>
    </w:p>
    <w:p w:rsidR="007338A7" w:rsidRDefault="007338A7" w:rsidP="007338A7">
      <w:pPr>
        <w:jc w:val="both"/>
        <w:rPr>
          <w:rFonts w:ascii="Arial" w:hAnsi="Arial" w:cs="Arial"/>
          <w:b/>
        </w:rPr>
      </w:pPr>
    </w:p>
    <w:p w:rsidR="007338A7" w:rsidRDefault="007338A7" w:rsidP="007338A7">
      <w:pPr>
        <w:ind w:left="2835" w:hanging="2835"/>
        <w:jc w:val="both"/>
        <w:rPr>
          <w:rFonts w:ascii="Arial" w:hAnsi="Arial" w:cs="Arial"/>
        </w:rPr>
      </w:pPr>
      <w:r>
        <w:rPr>
          <w:rFonts w:ascii="Arial" w:hAnsi="Arial" w:cs="Arial"/>
          <w:b/>
        </w:rPr>
        <w:t>Author and Title:</w:t>
      </w:r>
      <w:r>
        <w:rPr>
          <w:rFonts w:ascii="Arial" w:hAnsi="Arial" w:cs="Arial"/>
        </w:rPr>
        <w:t xml:space="preserve"> </w:t>
      </w:r>
      <w:r>
        <w:rPr>
          <w:rFonts w:ascii="Arial" w:hAnsi="Arial" w:cs="Arial"/>
        </w:rPr>
        <w:tab/>
      </w:r>
      <w:r>
        <w:rPr>
          <w:rFonts w:ascii="Arial" w:hAnsi="Arial" w:cs="Arial"/>
        </w:rPr>
        <w:tab/>
        <w:t xml:space="preserve">Justinian Habner, Trust Secretary </w:t>
      </w:r>
    </w:p>
    <w:p w:rsidR="007338A7" w:rsidRPr="002712E4" w:rsidRDefault="007338A7" w:rsidP="007338A7">
      <w:pPr>
        <w:jc w:val="both"/>
        <w:rPr>
          <w:rFonts w:ascii="Arial" w:hAnsi="Arial" w:cs="Arial"/>
        </w:rPr>
      </w:pPr>
      <w:r>
        <w:rPr>
          <w:rFonts w:ascii="Arial" w:hAnsi="Arial" w:cs="Arial"/>
          <w:b/>
        </w:rPr>
        <w:t>Lead Executive Director:</w:t>
      </w:r>
      <w:r>
        <w:rPr>
          <w:rFonts w:ascii="Arial" w:hAnsi="Arial" w:cs="Arial"/>
          <w:b/>
        </w:rPr>
        <w:tab/>
      </w:r>
      <w:r>
        <w:rPr>
          <w:rFonts w:ascii="Arial" w:hAnsi="Arial" w:cs="Arial"/>
        </w:rPr>
        <w:t>Mike McEnaney, Director of Finance</w:t>
      </w:r>
    </w:p>
    <w:p w:rsidR="007338A7" w:rsidRDefault="007338A7" w:rsidP="007338A7">
      <w:pPr>
        <w:jc w:val="both"/>
        <w:rPr>
          <w:rFonts w:ascii="Arial" w:hAnsi="Arial" w:cs="Arial"/>
          <w:b/>
        </w:rPr>
      </w:pPr>
    </w:p>
    <w:p w:rsidR="007338A7" w:rsidRPr="0073522A" w:rsidRDefault="007338A7" w:rsidP="007338A7">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p w:rsidR="000F1A75" w:rsidRDefault="000F1A75">
      <w:pPr>
        <w:rPr>
          <w:rFonts w:ascii="Arial" w:hAnsi="Arial" w:cs="Arial"/>
        </w:rPr>
      </w:pPr>
      <w:r>
        <w:rPr>
          <w:rFonts w:ascii="Arial" w:hAnsi="Arial" w:cs="Arial"/>
        </w:rPr>
        <w:br w:type="page"/>
      </w:r>
    </w:p>
    <w:p w:rsidR="007338A7" w:rsidRDefault="007338A7" w:rsidP="00537C23">
      <w:pPr>
        <w:jc w:val="both"/>
        <w:rPr>
          <w:rFonts w:ascii="Arial" w:hAnsi="Arial" w:cs="Arial"/>
        </w:rPr>
      </w:pPr>
    </w:p>
    <w:p w:rsidR="00537C23" w:rsidRDefault="00537C23" w:rsidP="00537C23">
      <w:pPr>
        <w:jc w:val="both"/>
        <w:rPr>
          <w:rFonts w:ascii="Arial" w:hAnsi="Arial" w:cs="Arial"/>
        </w:rPr>
      </w:pPr>
    </w:p>
    <w:p w:rsidR="00537C23" w:rsidRPr="006557FC" w:rsidRDefault="00FB11B0" w:rsidP="007338A7">
      <w:pPr>
        <w:numPr>
          <w:ilvl w:val="0"/>
          <w:numId w:val="14"/>
        </w:numPr>
        <w:ind w:hanging="720"/>
        <w:jc w:val="both"/>
        <w:rPr>
          <w:rFonts w:ascii="Arial" w:hAnsi="Arial" w:cs="Arial"/>
          <w:b/>
        </w:rPr>
      </w:pPr>
      <w:r>
        <w:rPr>
          <w:rFonts w:ascii="Arial" w:hAnsi="Arial" w:cs="Arial"/>
          <w:b/>
        </w:rPr>
        <w:t>2014/15</w:t>
      </w:r>
      <w:r w:rsidR="00537C23">
        <w:rPr>
          <w:rFonts w:ascii="Arial" w:hAnsi="Arial" w:cs="Arial"/>
          <w:b/>
        </w:rPr>
        <w:t xml:space="preserve"> Monitoring </w:t>
      </w:r>
      <w:r w:rsidR="00593399">
        <w:rPr>
          <w:rFonts w:ascii="Arial" w:hAnsi="Arial" w:cs="Arial"/>
          <w:b/>
        </w:rPr>
        <w:t>Requirements</w:t>
      </w:r>
    </w:p>
    <w:p w:rsidR="0042776F" w:rsidRDefault="005F2E83" w:rsidP="00D437E8">
      <w:pPr>
        <w:jc w:val="both"/>
        <w:rPr>
          <w:rFonts w:ascii="Arial" w:hAnsi="Arial" w:cs="Arial"/>
        </w:rPr>
      </w:pPr>
      <w:r>
        <w:rPr>
          <w:rFonts w:ascii="Arial" w:hAnsi="Arial" w:cs="Arial"/>
        </w:rPr>
        <w:t xml:space="preserve">Under the </w:t>
      </w:r>
      <w:r w:rsidR="00D437E8">
        <w:rPr>
          <w:rFonts w:ascii="Arial" w:hAnsi="Arial" w:cs="Arial"/>
        </w:rPr>
        <w:t>Risk Assessment Framework</w:t>
      </w:r>
      <w:r>
        <w:rPr>
          <w:rFonts w:ascii="Arial" w:hAnsi="Arial" w:cs="Arial"/>
        </w:rPr>
        <w:t xml:space="preserve"> </w:t>
      </w:r>
      <w:r w:rsidR="00FB11B0">
        <w:rPr>
          <w:rFonts w:ascii="Arial" w:hAnsi="Arial" w:cs="Arial"/>
        </w:rPr>
        <w:t xml:space="preserve">2014/15 </w:t>
      </w:r>
      <w:r>
        <w:rPr>
          <w:rFonts w:ascii="Arial" w:hAnsi="Arial" w:cs="Arial"/>
        </w:rPr>
        <w:t xml:space="preserve">FTs are required to make </w:t>
      </w:r>
      <w:r w:rsidR="00D437E8">
        <w:rPr>
          <w:rFonts w:ascii="Arial" w:hAnsi="Arial" w:cs="Arial"/>
        </w:rPr>
        <w:t>in-year submissions as set out below:-</w:t>
      </w:r>
    </w:p>
    <w:p w:rsidR="00D437E8" w:rsidRDefault="00D437E8" w:rsidP="00D437E8">
      <w:pPr>
        <w:jc w:val="both"/>
        <w:rPr>
          <w:rFonts w:ascii="Arial" w:hAnsi="Arial" w:cs="Arial"/>
        </w:rPr>
      </w:pPr>
    </w:p>
    <w:p w:rsidR="00D437E8" w:rsidRDefault="003177C9" w:rsidP="00D437E8">
      <w:pPr>
        <w:jc w:val="both"/>
        <w:rPr>
          <w:rFonts w:ascii="Arial" w:hAnsi="Arial" w:cs="Arial"/>
        </w:rPr>
      </w:pPr>
      <w:r>
        <w:rPr>
          <w:rFonts w:ascii="Arial" w:hAnsi="Arial" w:cs="Arial"/>
          <w:noProof/>
          <w:lang w:val="en-GB" w:eastAsia="en-GB"/>
        </w:rPr>
        <w:drawing>
          <wp:inline distT="0" distB="0" distL="0" distR="0">
            <wp:extent cx="5486400" cy="411333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86400" cy="4113339"/>
                    </a:xfrm>
                    <a:prstGeom prst="rect">
                      <a:avLst/>
                    </a:prstGeom>
                    <a:noFill/>
                    <a:ln w="9525">
                      <a:noFill/>
                      <a:miter lim="800000"/>
                      <a:headEnd/>
                      <a:tailEnd/>
                    </a:ln>
                  </pic:spPr>
                </pic:pic>
              </a:graphicData>
            </a:graphic>
          </wp:inline>
        </w:drawing>
      </w:r>
    </w:p>
    <w:p w:rsidR="00D437E8" w:rsidRDefault="00D437E8" w:rsidP="00D437E8">
      <w:pPr>
        <w:jc w:val="both"/>
        <w:rPr>
          <w:rFonts w:ascii="Arial" w:hAnsi="Arial" w:cs="Arial"/>
        </w:rPr>
      </w:pPr>
    </w:p>
    <w:p w:rsidR="00D437E8" w:rsidRDefault="00D437E8" w:rsidP="00D437E8">
      <w:pPr>
        <w:jc w:val="both"/>
        <w:rPr>
          <w:rFonts w:ascii="Arial" w:hAnsi="Arial" w:cs="Arial"/>
        </w:rPr>
      </w:pPr>
    </w:p>
    <w:p w:rsidR="00D437E8" w:rsidRDefault="00D437E8" w:rsidP="00D437E8">
      <w:pPr>
        <w:jc w:val="both"/>
        <w:rPr>
          <w:rFonts w:ascii="Arial" w:hAnsi="Arial" w:cs="Arial"/>
        </w:rPr>
      </w:pPr>
    </w:p>
    <w:p w:rsidR="0042776F" w:rsidRDefault="0042776F" w:rsidP="00537C23">
      <w:pPr>
        <w:jc w:val="both"/>
        <w:rPr>
          <w:rFonts w:ascii="Arial" w:hAnsi="Arial" w:cs="Arial"/>
        </w:rPr>
      </w:pPr>
      <w:r>
        <w:rPr>
          <w:rFonts w:ascii="Arial" w:hAnsi="Arial" w:cs="Arial"/>
        </w:rPr>
        <w:t>On a quarterly basis, Monitor issues templates which se</w:t>
      </w:r>
      <w:r w:rsidR="00593399">
        <w:rPr>
          <w:rFonts w:ascii="Arial" w:hAnsi="Arial" w:cs="Arial"/>
        </w:rPr>
        <w:t>t out what FTs should report on, including board statements, financial information, and performance against targets and indicators.</w:t>
      </w:r>
    </w:p>
    <w:p w:rsidR="00266710" w:rsidRDefault="00266710" w:rsidP="00537C23">
      <w:pPr>
        <w:jc w:val="both"/>
        <w:rPr>
          <w:rFonts w:ascii="Arial" w:hAnsi="Arial" w:cs="Arial"/>
        </w:rPr>
      </w:pPr>
    </w:p>
    <w:p w:rsidR="00266710" w:rsidRDefault="00266710" w:rsidP="00537C23">
      <w:pPr>
        <w:jc w:val="both"/>
        <w:rPr>
          <w:rFonts w:ascii="Arial" w:hAnsi="Arial" w:cs="Arial"/>
        </w:rPr>
      </w:pPr>
      <w:r>
        <w:rPr>
          <w:rFonts w:ascii="Arial" w:hAnsi="Arial" w:cs="Arial"/>
        </w:rPr>
        <w:t xml:space="preserve">Pages </w:t>
      </w:r>
      <w:r w:rsidR="003177C9">
        <w:rPr>
          <w:rFonts w:ascii="Arial" w:hAnsi="Arial" w:cs="Arial"/>
        </w:rPr>
        <w:t xml:space="preserve">17-22 </w:t>
      </w:r>
      <w:r>
        <w:rPr>
          <w:rFonts w:ascii="Arial" w:hAnsi="Arial" w:cs="Arial"/>
        </w:rPr>
        <w:t xml:space="preserve">of the </w:t>
      </w:r>
      <w:r w:rsidR="003177C9">
        <w:rPr>
          <w:rFonts w:ascii="Arial" w:hAnsi="Arial" w:cs="Arial"/>
        </w:rPr>
        <w:t>Risk Assessment</w:t>
      </w:r>
      <w:r>
        <w:rPr>
          <w:rFonts w:ascii="Arial" w:hAnsi="Arial" w:cs="Arial"/>
        </w:rPr>
        <w:t xml:space="preserve"> Framework set out the elements of the in-year submission and what Board’s need to take account of; further detail is set out in the Appendices.  Elements of the submission include:-</w:t>
      </w:r>
    </w:p>
    <w:p w:rsidR="0042776F" w:rsidRDefault="0042776F" w:rsidP="00537C23">
      <w:pPr>
        <w:jc w:val="both"/>
        <w:rPr>
          <w:rFonts w:ascii="Arial" w:hAnsi="Arial" w:cs="Arial"/>
        </w:rPr>
      </w:pPr>
    </w:p>
    <w:p w:rsidR="00593399" w:rsidRPr="00780788" w:rsidRDefault="00593399" w:rsidP="00780788">
      <w:pPr>
        <w:pStyle w:val="ListParagraph"/>
        <w:numPr>
          <w:ilvl w:val="0"/>
          <w:numId w:val="26"/>
        </w:numPr>
        <w:jc w:val="both"/>
        <w:rPr>
          <w:rFonts w:ascii="Arial" w:hAnsi="Arial" w:cs="Arial"/>
        </w:rPr>
      </w:pPr>
      <w:r w:rsidRPr="00780788">
        <w:rPr>
          <w:rFonts w:ascii="Arial" w:hAnsi="Arial" w:cs="Arial"/>
          <w:i/>
        </w:rPr>
        <w:t>Board statements:</w:t>
      </w:r>
    </w:p>
    <w:p w:rsidR="00593399" w:rsidRDefault="00593399" w:rsidP="00537C23">
      <w:pPr>
        <w:jc w:val="both"/>
        <w:rPr>
          <w:rFonts w:ascii="Arial" w:hAnsi="Arial" w:cs="Arial"/>
        </w:rPr>
      </w:pPr>
      <w:r>
        <w:rPr>
          <w:rFonts w:ascii="Arial" w:hAnsi="Arial" w:cs="Arial"/>
        </w:rPr>
        <w:t>FTs are required to confirm the following board statements (no supporting details are required unless compliance cannot be confirmed).</w:t>
      </w:r>
    </w:p>
    <w:p w:rsidR="00593399" w:rsidRDefault="00593399" w:rsidP="00537C23">
      <w:pPr>
        <w:jc w:val="both"/>
        <w:rPr>
          <w:rFonts w:ascii="Arial" w:hAnsi="Arial" w:cs="Arial"/>
        </w:rPr>
      </w:pPr>
    </w:p>
    <w:p w:rsidR="003177C9" w:rsidRPr="000F1A75" w:rsidRDefault="003177C9" w:rsidP="003177C9">
      <w:pPr>
        <w:pStyle w:val="ListParagraph"/>
        <w:numPr>
          <w:ilvl w:val="0"/>
          <w:numId w:val="20"/>
        </w:numPr>
        <w:jc w:val="both"/>
        <w:rPr>
          <w:rFonts w:ascii="Arial" w:hAnsi="Arial" w:cs="Arial"/>
        </w:rPr>
      </w:pPr>
      <w:r>
        <w:rPr>
          <w:rFonts w:ascii="Arial" w:hAnsi="Arial" w:cs="Arial"/>
        </w:rPr>
        <w:t>The Board anticipates that the T</w:t>
      </w:r>
      <w:r w:rsidRPr="00593399">
        <w:rPr>
          <w:rFonts w:ascii="Arial" w:hAnsi="Arial" w:cs="Arial"/>
        </w:rPr>
        <w:t xml:space="preserve">rust will continue to maintain a </w:t>
      </w:r>
      <w:r>
        <w:rPr>
          <w:rFonts w:ascii="Arial" w:hAnsi="Arial" w:cs="Arial"/>
        </w:rPr>
        <w:t>Continuity of Service risk rating</w:t>
      </w:r>
      <w:r w:rsidRPr="00593399">
        <w:rPr>
          <w:rFonts w:ascii="Arial" w:hAnsi="Arial" w:cs="Arial"/>
        </w:rPr>
        <w:t xml:space="preserve"> of at l</w:t>
      </w:r>
      <w:r>
        <w:rPr>
          <w:rFonts w:ascii="Arial" w:hAnsi="Arial" w:cs="Arial"/>
        </w:rPr>
        <w:t>east 3 over the next 12 months.</w:t>
      </w:r>
    </w:p>
    <w:p w:rsidR="003177C9" w:rsidRPr="00593399" w:rsidRDefault="003177C9" w:rsidP="003177C9">
      <w:pPr>
        <w:pStyle w:val="ListParagraph"/>
        <w:numPr>
          <w:ilvl w:val="0"/>
          <w:numId w:val="20"/>
        </w:numPr>
        <w:jc w:val="both"/>
        <w:rPr>
          <w:rFonts w:ascii="Arial" w:hAnsi="Arial" w:cs="Arial"/>
        </w:rPr>
      </w:pPr>
      <w:r>
        <w:rPr>
          <w:rFonts w:ascii="Arial" w:hAnsi="Arial" w:cs="Arial"/>
        </w:rPr>
        <w:lastRenderedPageBreak/>
        <w:t>The Board is satisfied that plans in place are sufficient to ensure ongoing compliance with all existing targets (after the application of thresholds) as set out in Appendix A of the Risk Assessment Framework; and a commitment to comply with all known existing targets going forwards.</w:t>
      </w:r>
    </w:p>
    <w:p w:rsidR="00593399" w:rsidRPr="009C058B" w:rsidRDefault="00593399" w:rsidP="009C058B">
      <w:pPr>
        <w:jc w:val="both"/>
        <w:rPr>
          <w:rFonts w:ascii="Arial" w:hAnsi="Arial" w:cs="Arial"/>
        </w:rPr>
      </w:pPr>
    </w:p>
    <w:p w:rsidR="009C058B" w:rsidRPr="00266710" w:rsidRDefault="00582ACF" w:rsidP="00780788">
      <w:pPr>
        <w:pStyle w:val="Default"/>
        <w:numPr>
          <w:ilvl w:val="0"/>
          <w:numId w:val="26"/>
        </w:numPr>
        <w:jc w:val="both"/>
        <w:rPr>
          <w:i/>
        </w:rPr>
      </w:pPr>
      <w:r w:rsidRPr="009C058B">
        <w:rPr>
          <w:bCs/>
          <w:i/>
        </w:rPr>
        <w:t>Non-exhaustive list of item</w:t>
      </w:r>
      <w:r w:rsidR="00780788">
        <w:rPr>
          <w:bCs/>
          <w:i/>
        </w:rPr>
        <w:t>s requiring exception reporting:</w:t>
      </w:r>
    </w:p>
    <w:p w:rsidR="003177C9" w:rsidRDefault="003177C9" w:rsidP="00780788">
      <w:pPr>
        <w:pStyle w:val="Default"/>
        <w:jc w:val="both"/>
        <w:rPr>
          <w:iCs/>
        </w:rPr>
      </w:pPr>
    </w:p>
    <w:p w:rsidR="003177C9" w:rsidRDefault="003177C9" w:rsidP="00780788">
      <w:pPr>
        <w:pStyle w:val="Default"/>
        <w:jc w:val="both"/>
        <w:rPr>
          <w:iCs/>
        </w:rPr>
      </w:pPr>
    </w:p>
    <w:p w:rsidR="003177C9" w:rsidRDefault="003177C9" w:rsidP="00780788">
      <w:pPr>
        <w:pStyle w:val="Default"/>
        <w:jc w:val="both"/>
        <w:rPr>
          <w:iCs/>
        </w:rPr>
      </w:pPr>
      <w:r>
        <w:rPr>
          <w:iCs/>
          <w:noProof/>
        </w:rPr>
        <w:drawing>
          <wp:inline distT="0" distB="0" distL="0" distR="0">
            <wp:extent cx="5486400" cy="411333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86400" cy="4113339"/>
                    </a:xfrm>
                    <a:prstGeom prst="rect">
                      <a:avLst/>
                    </a:prstGeom>
                    <a:noFill/>
                    <a:ln w="9525">
                      <a:noFill/>
                      <a:miter lim="800000"/>
                      <a:headEnd/>
                      <a:tailEnd/>
                    </a:ln>
                  </pic:spPr>
                </pic:pic>
              </a:graphicData>
            </a:graphic>
          </wp:inline>
        </w:drawing>
      </w:r>
    </w:p>
    <w:p w:rsidR="00537C23" w:rsidRDefault="00537C23"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FB11B0" w:rsidRDefault="00FB11B0" w:rsidP="00537C23">
      <w:pPr>
        <w:jc w:val="both"/>
        <w:rPr>
          <w:rFonts w:ascii="Arial" w:hAnsi="Arial" w:cs="Arial"/>
        </w:rPr>
      </w:pPr>
    </w:p>
    <w:p w:rsidR="00FB11B0" w:rsidRDefault="00FB11B0" w:rsidP="00537C23">
      <w:pPr>
        <w:jc w:val="both"/>
        <w:rPr>
          <w:rFonts w:ascii="Arial" w:hAnsi="Arial" w:cs="Arial"/>
        </w:rPr>
      </w:pPr>
    </w:p>
    <w:p w:rsidR="00851BE6" w:rsidRDefault="00851BE6" w:rsidP="00537C23">
      <w:pPr>
        <w:jc w:val="both"/>
        <w:rPr>
          <w:rFonts w:ascii="Arial" w:hAnsi="Arial" w:cs="Arial"/>
        </w:rPr>
      </w:pPr>
    </w:p>
    <w:p w:rsidR="00780788" w:rsidRPr="00780788" w:rsidRDefault="00780788" w:rsidP="00780788">
      <w:pPr>
        <w:pStyle w:val="ListParagraph"/>
        <w:numPr>
          <w:ilvl w:val="0"/>
          <w:numId w:val="26"/>
        </w:numPr>
        <w:jc w:val="both"/>
        <w:rPr>
          <w:rFonts w:ascii="Arial" w:hAnsi="Arial" w:cs="Arial"/>
          <w:i/>
        </w:rPr>
      </w:pPr>
      <w:r w:rsidRPr="00780788">
        <w:rPr>
          <w:rFonts w:ascii="Arial" w:hAnsi="Arial" w:cs="Arial"/>
          <w:i/>
        </w:rPr>
        <w:lastRenderedPageBreak/>
        <w:t>Targets and Indictors</w:t>
      </w:r>
      <w:r>
        <w:rPr>
          <w:rFonts w:ascii="Arial" w:hAnsi="Arial" w:cs="Arial"/>
          <w:i/>
        </w:rPr>
        <w:t>:</w:t>
      </w:r>
    </w:p>
    <w:p w:rsidR="00537C23" w:rsidRDefault="00A80D21" w:rsidP="00537C23">
      <w:pPr>
        <w:jc w:val="both"/>
        <w:rPr>
          <w:rFonts w:ascii="Arial" w:hAnsi="Arial" w:cs="Arial"/>
        </w:rPr>
      </w:pPr>
      <w:r>
        <w:rPr>
          <w:rFonts w:ascii="Arial" w:hAnsi="Arial" w:cs="Arial"/>
        </w:rPr>
        <w:t xml:space="preserve">Appendix </w:t>
      </w:r>
      <w:r w:rsidR="003177C9">
        <w:rPr>
          <w:rFonts w:ascii="Arial" w:hAnsi="Arial" w:cs="Arial"/>
        </w:rPr>
        <w:t>A</w:t>
      </w:r>
      <w:r>
        <w:rPr>
          <w:rFonts w:ascii="Arial" w:hAnsi="Arial" w:cs="Arial"/>
        </w:rPr>
        <w:t xml:space="preserve"> of the </w:t>
      </w:r>
      <w:r w:rsidR="003177C9">
        <w:rPr>
          <w:rFonts w:ascii="Arial" w:hAnsi="Arial" w:cs="Arial"/>
        </w:rPr>
        <w:t>Risk Assessment Framework</w:t>
      </w:r>
      <w:r w:rsidR="00851BE6">
        <w:rPr>
          <w:rFonts w:ascii="Arial" w:hAnsi="Arial" w:cs="Arial"/>
        </w:rPr>
        <w:t xml:space="preserve"> sets out the targets and indicators that FTs must report on:-</w:t>
      </w:r>
    </w:p>
    <w:p w:rsidR="003145DD" w:rsidRDefault="003145DD" w:rsidP="00537C23">
      <w:pPr>
        <w:jc w:val="both"/>
        <w:rPr>
          <w:rFonts w:ascii="Arial" w:hAnsi="Arial" w:cs="Arial"/>
        </w:rPr>
      </w:pPr>
    </w:p>
    <w:tbl>
      <w:tblPr>
        <w:tblW w:w="9039" w:type="dxa"/>
        <w:tblBorders>
          <w:top w:val="nil"/>
          <w:left w:val="nil"/>
          <w:bottom w:val="nil"/>
          <w:right w:val="nil"/>
        </w:tblBorders>
        <w:tblLayout w:type="fixed"/>
        <w:tblLook w:val="0000"/>
      </w:tblPr>
      <w:tblGrid>
        <w:gridCol w:w="817"/>
        <w:gridCol w:w="3969"/>
        <w:gridCol w:w="992"/>
        <w:gridCol w:w="1134"/>
        <w:gridCol w:w="2127"/>
      </w:tblGrid>
      <w:tr w:rsidR="00851BE6" w:rsidRPr="00827289" w:rsidTr="00851BE6">
        <w:trPr>
          <w:trHeight w:val="664"/>
        </w:trPr>
        <w:tc>
          <w:tcPr>
            <w:tcW w:w="817"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AREA</w:t>
            </w:r>
          </w:p>
        </w:tc>
        <w:tc>
          <w:tcPr>
            <w:tcW w:w="3969"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INDICATOR</w:t>
            </w:r>
          </w:p>
        </w:tc>
        <w:tc>
          <w:tcPr>
            <w:tcW w:w="992"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THRES-HOLD</w:t>
            </w:r>
          </w:p>
        </w:tc>
        <w:tc>
          <w:tcPr>
            <w:tcW w:w="1134"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WEIGHT-ING</w:t>
            </w:r>
          </w:p>
        </w:tc>
        <w:tc>
          <w:tcPr>
            <w:tcW w:w="2127"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MONITORING PERIOD</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Maximum time of 18 weeks from point of referral to treatment in aggregate – admitted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90%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2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Maximum time of 18 weeks from point of referral to treatment in aggregate – non-admitted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3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Maximum time of 18 weeks from point of referral to treatment in aggregate – patients on an incomplete pathway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92%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4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A&amp;E: maximum waiting time of four hours from arrival to admission/ transfer/ discharge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349"/>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All cancers: 62-day wait for first treatment from: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urgent GP referral for suspected cancer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NHS Cancer Screening Service referral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85%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90%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471"/>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6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All cancers: 31-day wait for second or subsequent treatment,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surgery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anti-cancer drug treatments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radiotherapy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94%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98%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94%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All cancers: 31-day wait from diagnosis to first treatment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96%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349"/>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8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Cancer: two week wait from referral to date first seen,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all urgent referrals (cancer suspected)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for symptomatic breast patients (cancer </w:t>
            </w: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not initially suspected)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93%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93%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350"/>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Care Programme Approach (CPA) patients,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receiving follow-up contact within seven days of discharge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having formal review within 12 months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Admissions to inpatients services had access to Crisis Resolution/Home Treatment teams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11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Meeting commitment to serve new psychosis cases by early intervention teams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349"/>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12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Category A call – emergency response within 8 minutes,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Red 1 calls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Red 2 calls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75%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13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Category A call – ambulance vehicle arrives within 19 minutes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14 </w:t>
            </w:r>
          </w:p>
        </w:tc>
        <w:tc>
          <w:tcPr>
            <w:tcW w:w="3969" w:type="dxa"/>
          </w:tcPr>
          <w:p w:rsidR="00851BE6"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Clostridium (C.) </w:t>
            </w:r>
            <w:proofErr w:type="spellStart"/>
            <w:r w:rsidRPr="00827289">
              <w:rPr>
                <w:rFonts w:ascii="Arial" w:hAnsi="Arial" w:cs="Arial"/>
                <w:color w:val="000000"/>
                <w:sz w:val="20"/>
                <w:szCs w:val="20"/>
                <w:lang w:val="en-GB" w:eastAsia="en-GB"/>
              </w:rPr>
              <w:t>difficile</w:t>
            </w:r>
            <w:proofErr w:type="spellEnd"/>
            <w:r w:rsidRPr="00827289">
              <w:rPr>
                <w:rFonts w:ascii="Arial" w:hAnsi="Arial" w:cs="Arial"/>
                <w:color w:val="000000"/>
                <w:sz w:val="20"/>
                <w:szCs w:val="20"/>
                <w:lang w:val="en-GB" w:eastAsia="en-GB"/>
              </w:rPr>
              <w:t xml:space="preserve"> – meeting</w:t>
            </w:r>
            <w:r>
              <w:rPr>
                <w:rFonts w:ascii="Arial" w:hAnsi="Arial" w:cs="Arial"/>
                <w:color w:val="000000"/>
                <w:sz w:val="20"/>
                <w:szCs w:val="20"/>
                <w:lang w:val="en-GB" w:eastAsia="en-GB"/>
              </w:rPr>
              <w:t xml:space="preserve"> the C. </w:t>
            </w:r>
            <w:proofErr w:type="spellStart"/>
            <w:r>
              <w:rPr>
                <w:rFonts w:ascii="Arial" w:hAnsi="Arial" w:cs="Arial"/>
                <w:color w:val="000000"/>
                <w:sz w:val="20"/>
                <w:szCs w:val="20"/>
                <w:lang w:val="en-GB" w:eastAsia="en-GB"/>
              </w:rPr>
              <w:t>difficile</w:t>
            </w:r>
            <w:proofErr w:type="spellEnd"/>
            <w:r>
              <w:rPr>
                <w:rFonts w:ascii="Arial" w:hAnsi="Arial" w:cs="Arial"/>
                <w:color w:val="000000"/>
                <w:sz w:val="20"/>
                <w:szCs w:val="20"/>
                <w:lang w:val="en-GB" w:eastAsia="en-GB"/>
              </w:rPr>
              <w:t xml:space="preserve"> objective </w:t>
            </w:r>
          </w:p>
          <w:p w:rsidR="00FB11B0" w:rsidRPr="00827289" w:rsidRDefault="00FB11B0" w:rsidP="00851BE6">
            <w:pPr>
              <w:autoSpaceDE w:val="0"/>
              <w:autoSpaceDN w:val="0"/>
              <w:adjustRightInd w:val="0"/>
              <w:rPr>
                <w:rFonts w:ascii="Arial" w:hAnsi="Arial" w:cs="Arial"/>
                <w:color w:val="000000"/>
                <w:sz w:val="20"/>
                <w:szCs w:val="20"/>
                <w:lang w:val="en-GB" w:eastAsia="en-GB"/>
              </w:rPr>
            </w:pP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DM*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lastRenderedPageBreak/>
              <w:t xml:space="preserve">16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Minimising mental health del</w:t>
            </w:r>
            <w:r>
              <w:rPr>
                <w:rFonts w:ascii="Arial" w:hAnsi="Arial" w:cs="Arial"/>
                <w:color w:val="000000"/>
                <w:sz w:val="20"/>
                <w:szCs w:val="20"/>
                <w:lang w:val="en-GB" w:eastAsia="en-GB"/>
              </w:rPr>
              <w:t xml:space="preserve">ayed transfers of care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17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Mental health dat</w:t>
            </w:r>
            <w:r>
              <w:rPr>
                <w:rFonts w:ascii="Arial" w:hAnsi="Arial" w:cs="Arial"/>
                <w:color w:val="000000"/>
                <w:sz w:val="20"/>
                <w:szCs w:val="20"/>
                <w:lang w:val="en-GB" w:eastAsia="en-GB"/>
              </w:rPr>
              <w:t xml:space="preserve">a completeness: identifiers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97%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18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Mental health data completeness: o</w:t>
            </w:r>
            <w:r>
              <w:rPr>
                <w:rFonts w:ascii="Arial" w:hAnsi="Arial" w:cs="Arial"/>
                <w:color w:val="000000"/>
                <w:sz w:val="20"/>
                <w:szCs w:val="20"/>
                <w:lang w:val="en-GB" w:eastAsia="en-GB"/>
              </w:rPr>
              <w:t xml:space="preserve">utcomes for patients on CPA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19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Certification against compliance with requirements regarding access to health care for people</w:t>
            </w:r>
            <w:r>
              <w:rPr>
                <w:rFonts w:ascii="Arial" w:hAnsi="Arial" w:cs="Arial"/>
                <w:color w:val="000000"/>
                <w:sz w:val="20"/>
                <w:szCs w:val="20"/>
                <w:lang w:val="en-GB" w:eastAsia="en-GB"/>
              </w:rPr>
              <w:t xml:space="preserve"> with a learning disability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N/A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bottom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20 </w:t>
            </w:r>
          </w:p>
        </w:tc>
        <w:tc>
          <w:tcPr>
            <w:tcW w:w="3969" w:type="dxa"/>
            <w:tcBorders>
              <w:bottom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Data comp</w:t>
            </w:r>
            <w:r>
              <w:rPr>
                <w:rFonts w:ascii="Arial" w:hAnsi="Arial" w:cs="Arial"/>
                <w:color w:val="000000"/>
                <w:sz w:val="20"/>
                <w:szCs w:val="20"/>
                <w:lang w:val="en-GB" w:eastAsia="en-GB"/>
              </w:rPr>
              <w:t>leteness: community services</w:t>
            </w:r>
            <w:r w:rsidRPr="00827289">
              <w:rPr>
                <w:rFonts w:ascii="Arial" w:hAnsi="Arial" w:cs="Arial"/>
                <w:color w:val="000000"/>
                <w:sz w:val="20"/>
                <w:szCs w:val="20"/>
                <w:lang w:val="en-GB" w:eastAsia="en-GB"/>
              </w:rPr>
              <w:t xml:space="preserve">,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referral to treatment information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referral information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treatment activity information </w:t>
            </w:r>
          </w:p>
        </w:tc>
        <w:tc>
          <w:tcPr>
            <w:tcW w:w="992" w:type="dxa"/>
            <w:tcBorders>
              <w:bottom w:val="nil"/>
            </w:tcBorders>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tc>
        <w:tc>
          <w:tcPr>
            <w:tcW w:w="1134" w:type="dxa"/>
            <w:tcBorders>
              <w:bottom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bottom w:val="nil"/>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bl>
    <w:p w:rsidR="003145DD" w:rsidRDefault="003145DD" w:rsidP="00537C23">
      <w:pPr>
        <w:jc w:val="both"/>
        <w:rPr>
          <w:rFonts w:ascii="Arial" w:hAnsi="Arial" w:cs="Arial"/>
        </w:rPr>
      </w:pPr>
    </w:p>
    <w:p w:rsidR="00780788" w:rsidRDefault="00780788" w:rsidP="00780788">
      <w:pPr>
        <w:jc w:val="both"/>
        <w:rPr>
          <w:rFonts w:ascii="Arial" w:hAnsi="Arial" w:cs="Arial"/>
        </w:rPr>
      </w:pPr>
      <w:r>
        <w:rPr>
          <w:rFonts w:ascii="Arial" w:hAnsi="Arial" w:cs="Arial"/>
        </w:rPr>
        <w:t xml:space="preserve">Please consult the </w:t>
      </w:r>
      <w:r w:rsidR="003177C9">
        <w:rPr>
          <w:rFonts w:ascii="Arial" w:hAnsi="Arial" w:cs="Arial"/>
        </w:rPr>
        <w:t>Risk Assessment Framework</w:t>
      </w:r>
      <w:r>
        <w:rPr>
          <w:rFonts w:ascii="Arial" w:hAnsi="Arial" w:cs="Arial"/>
        </w:rPr>
        <w:t xml:space="preserve"> </w:t>
      </w:r>
      <w:r w:rsidR="00FB11B0">
        <w:rPr>
          <w:rFonts w:ascii="Arial" w:hAnsi="Arial" w:cs="Arial"/>
        </w:rPr>
        <w:t>2014/15 originally published by Monitor</w:t>
      </w:r>
      <w:r w:rsidR="003177C9">
        <w:rPr>
          <w:rFonts w:ascii="Arial" w:hAnsi="Arial" w:cs="Arial"/>
        </w:rPr>
        <w:t xml:space="preserve"> </w:t>
      </w:r>
      <w:r w:rsidR="00FB11B0">
        <w:rPr>
          <w:rFonts w:ascii="Arial" w:hAnsi="Arial" w:cs="Arial"/>
        </w:rPr>
        <w:t xml:space="preserve">in </w:t>
      </w:r>
      <w:r w:rsidR="003177C9">
        <w:rPr>
          <w:rFonts w:ascii="Arial" w:hAnsi="Arial" w:cs="Arial"/>
        </w:rPr>
        <w:t>August</w:t>
      </w:r>
      <w:r w:rsidR="003145DD">
        <w:rPr>
          <w:rFonts w:ascii="Arial" w:hAnsi="Arial" w:cs="Arial"/>
        </w:rPr>
        <w:t xml:space="preserve"> 2013</w:t>
      </w:r>
      <w:r>
        <w:rPr>
          <w:rFonts w:ascii="Arial" w:hAnsi="Arial" w:cs="Arial"/>
        </w:rPr>
        <w:t xml:space="preserve"> </w:t>
      </w:r>
      <w:r w:rsidR="00FB11B0">
        <w:rPr>
          <w:rFonts w:ascii="Arial" w:hAnsi="Arial" w:cs="Arial"/>
        </w:rPr>
        <w:t xml:space="preserve">with Appendix C updated in April 2014 </w:t>
      </w:r>
      <w:r>
        <w:rPr>
          <w:rFonts w:ascii="Arial" w:hAnsi="Arial" w:cs="Arial"/>
        </w:rPr>
        <w:t>for more detail on required submissions.</w:t>
      </w:r>
    </w:p>
    <w:p w:rsidR="003177C9" w:rsidRDefault="003177C9" w:rsidP="00780788">
      <w:pPr>
        <w:jc w:val="both"/>
        <w:rPr>
          <w:rFonts w:ascii="Arial" w:hAnsi="Arial" w:cs="Arial"/>
        </w:rPr>
      </w:pPr>
    </w:p>
    <w:p w:rsidR="002712E4" w:rsidRDefault="002712E4" w:rsidP="00537C23">
      <w:pPr>
        <w:jc w:val="both"/>
        <w:rPr>
          <w:rFonts w:ascii="Arial" w:hAnsi="Arial" w:cs="Arial"/>
          <w:b/>
        </w:rPr>
      </w:pPr>
    </w:p>
    <w:p w:rsidR="00537C23" w:rsidRDefault="00780788" w:rsidP="007338A7">
      <w:pPr>
        <w:numPr>
          <w:ilvl w:val="0"/>
          <w:numId w:val="14"/>
        </w:numPr>
        <w:ind w:hanging="720"/>
        <w:jc w:val="both"/>
        <w:rPr>
          <w:rFonts w:ascii="Arial" w:hAnsi="Arial" w:cs="Arial"/>
          <w:b/>
        </w:rPr>
      </w:pPr>
      <w:r>
        <w:rPr>
          <w:rFonts w:ascii="Arial" w:hAnsi="Arial" w:cs="Arial"/>
          <w:b/>
        </w:rPr>
        <w:t xml:space="preserve">Proposed </w:t>
      </w:r>
      <w:r w:rsidR="00537C23">
        <w:rPr>
          <w:rFonts w:ascii="Arial" w:hAnsi="Arial" w:cs="Arial"/>
          <w:b/>
        </w:rPr>
        <w:t xml:space="preserve">Submissions for Quarter </w:t>
      </w:r>
      <w:r w:rsidR="00FB11B0">
        <w:rPr>
          <w:rFonts w:ascii="Arial" w:hAnsi="Arial" w:cs="Arial"/>
          <w:b/>
        </w:rPr>
        <w:t>1</w:t>
      </w:r>
    </w:p>
    <w:p w:rsidR="000F1A75" w:rsidRDefault="008D3D68" w:rsidP="0038018C">
      <w:pPr>
        <w:jc w:val="both"/>
        <w:rPr>
          <w:rFonts w:ascii="Arial" w:hAnsi="Arial" w:cs="Arial"/>
        </w:rPr>
      </w:pPr>
      <w:r>
        <w:rPr>
          <w:rFonts w:ascii="Arial" w:hAnsi="Arial" w:cs="Arial"/>
        </w:rPr>
        <w:t xml:space="preserve">In </w:t>
      </w:r>
      <w:r w:rsidR="001C17B4">
        <w:rPr>
          <w:rFonts w:ascii="Arial" w:hAnsi="Arial" w:cs="Arial"/>
        </w:rPr>
        <w:t>October</w:t>
      </w:r>
      <w:r w:rsidR="00FB11B0">
        <w:rPr>
          <w:rFonts w:ascii="Arial" w:hAnsi="Arial" w:cs="Arial"/>
        </w:rPr>
        <w:t xml:space="preserve"> </w:t>
      </w:r>
      <w:r>
        <w:rPr>
          <w:rFonts w:ascii="Arial" w:hAnsi="Arial" w:cs="Arial"/>
        </w:rPr>
        <w:t>2014</w:t>
      </w:r>
      <w:r w:rsidR="000F1A75">
        <w:rPr>
          <w:rFonts w:ascii="Arial" w:hAnsi="Arial" w:cs="Arial"/>
        </w:rPr>
        <w:t xml:space="preserve">, </w:t>
      </w:r>
      <w:r w:rsidR="00537C23">
        <w:rPr>
          <w:rFonts w:ascii="Arial" w:hAnsi="Arial" w:cs="Arial"/>
        </w:rPr>
        <w:t xml:space="preserve">Monitor issued to the Trust the </w:t>
      </w:r>
      <w:r w:rsidR="00E22A07">
        <w:rPr>
          <w:rFonts w:ascii="Arial" w:hAnsi="Arial" w:cs="Arial"/>
        </w:rPr>
        <w:t xml:space="preserve">update </w:t>
      </w:r>
      <w:r w:rsidR="00537C23">
        <w:rPr>
          <w:rFonts w:ascii="Arial" w:hAnsi="Arial" w:cs="Arial"/>
        </w:rPr>
        <w:t xml:space="preserve">template to be completed </w:t>
      </w:r>
      <w:r w:rsidR="00022B45">
        <w:rPr>
          <w:rFonts w:ascii="Arial" w:hAnsi="Arial" w:cs="Arial"/>
        </w:rPr>
        <w:t xml:space="preserve">for the </w:t>
      </w:r>
      <w:r>
        <w:rPr>
          <w:rFonts w:ascii="Arial" w:hAnsi="Arial" w:cs="Arial"/>
        </w:rPr>
        <w:t xml:space="preserve">Quarter </w:t>
      </w:r>
      <w:r w:rsidR="00FB11B0">
        <w:rPr>
          <w:rFonts w:ascii="Arial" w:hAnsi="Arial" w:cs="Arial"/>
        </w:rPr>
        <w:t>1</w:t>
      </w:r>
      <w:r w:rsidR="006C4992">
        <w:rPr>
          <w:rFonts w:ascii="Arial" w:hAnsi="Arial" w:cs="Arial"/>
        </w:rPr>
        <w:t xml:space="preserve"> in-year report</w:t>
      </w:r>
      <w:r w:rsidR="00537C23">
        <w:rPr>
          <w:rFonts w:ascii="Arial" w:hAnsi="Arial" w:cs="Arial"/>
        </w:rPr>
        <w:t>.</w:t>
      </w:r>
      <w:r w:rsidR="008663FA">
        <w:rPr>
          <w:rFonts w:ascii="Arial" w:hAnsi="Arial" w:cs="Arial"/>
        </w:rPr>
        <w:t xml:space="preserve">  </w:t>
      </w:r>
      <w:r w:rsidR="00851BE6">
        <w:rPr>
          <w:rFonts w:ascii="Arial" w:hAnsi="Arial" w:cs="Arial"/>
        </w:rPr>
        <w:t xml:space="preserve">The Executive meeting discussed the submission on </w:t>
      </w:r>
      <w:r w:rsidR="001C17B4">
        <w:rPr>
          <w:rFonts w:ascii="Arial" w:hAnsi="Arial" w:cs="Arial"/>
        </w:rPr>
        <w:t>6 October</w:t>
      </w:r>
      <w:r w:rsidR="00FB11B0">
        <w:rPr>
          <w:rFonts w:ascii="Arial" w:hAnsi="Arial" w:cs="Arial"/>
        </w:rPr>
        <w:t xml:space="preserve"> 2014</w:t>
      </w:r>
      <w:r w:rsidR="00851BE6">
        <w:rPr>
          <w:rFonts w:ascii="Arial" w:hAnsi="Arial" w:cs="Arial"/>
        </w:rPr>
        <w:t>.</w:t>
      </w:r>
    </w:p>
    <w:p w:rsidR="000F1A75" w:rsidRDefault="000F1A75" w:rsidP="0038018C">
      <w:pPr>
        <w:jc w:val="both"/>
        <w:rPr>
          <w:rFonts w:ascii="Arial" w:hAnsi="Arial" w:cs="Arial"/>
        </w:rPr>
      </w:pPr>
    </w:p>
    <w:p w:rsidR="008663FA" w:rsidRDefault="008663FA" w:rsidP="0038018C">
      <w:pPr>
        <w:jc w:val="both"/>
        <w:rPr>
          <w:rFonts w:ascii="Arial" w:hAnsi="Arial" w:cs="Arial"/>
        </w:rPr>
      </w:pPr>
      <w:r>
        <w:rPr>
          <w:rFonts w:ascii="Arial" w:hAnsi="Arial" w:cs="Arial"/>
        </w:rPr>
        <w:t>On the Board statements, it is p</w:t>
      </w:r>
      <w:r w:rsidR="00ED3297">
        <w:rPr>
          <w:rFonts w:ascii="Arial" w:hAnsi="Arial" w:cs="Arial"/>
        </w:rPr>
        <w:t xml:space="preserve">roposed that the response for </w:t>
      </w:r>
      <w:r w:rsidR="00851BE6">
        <w:rPr>
          <w:rFonts w:ascii="Arial" w:hAnsi="Arial" w:cs="Arial"/>
        </w:rPr>
        <w:t xml:space="preserve">Quarter </w:t>
      </w:r>
      <w:r w:rsidR="001C17B4">
        <w:rPr>
          <w:rFonts w:ascii="Arial" w:hAnsi="Arial" w:cs="Arial"/>
        </w:rPr>
        <w:t>2</w:t>
      </w:r>
      <w:r>
        <w:rPr>
          <w:rFonts w:ascii="Arial" w:hAnsi="Arial" w:cs="Arial"/>
        </w:rPr>
        <w:t xml:space="preserve"> is as follows:-</w:t>
      </w:r>
    </w:p>
    <w:p w:rsidR="008663FA" w:rsidRPr="00851BE6" w:rsidRDefault="00851BE6" w:rsidP="00851BE6">
      <w:pPr>
        <w:pStyle w:val="ListParagraph"/>
        <w:numPr>
          <w:ilvl w:val="0"/>
          <w:numId w:val="20"/>
        </w:numPr>
        <w:jc w:val="both"/>
        <w:rPr>
          <w:rFonts w:ascii="Arial" w:hAnsi="Arial" w:cs="Arial"/>
        </w:rPr>
      </w:pPr>
      <w:r>
        <w:rPr>
          <w:rFonts w:ascii="Arial" w:hAnsi="Arial" w:cs="Arial"/>
        </w:rPr>
        <w:t>The Board anticipates that the T</w:t>
      </w:r>
      <w:r w:rsidRPr="00593399">
        <w:rPr>
          <w:rFonts w:ascii="Arial" w:hAnsi="Arial" w:cs="Arial"/>
        </w:rPr>
        <w:t xml:space="preserve">rust will continue to maintain a </w:t>
      </w:r>
      <w:r>
        <w:rPr>
          <w:rFonts w:ascii="Arial" w:hAnsi="Arial" w:cs="Arial"/>
        </w:rPr>
        <w:t>Continuity of Service risk rating</w:t>
      </w:r>
      <w:r w:rsidRPr="00593399">
        <w:rPr>
          <w:rFonts w:ascii="Arial" w:hAnsi="Arial" w:cs="Arial"/>
        </w:rPr>
        <w:t xml:space="preserve"> of at l</w:t>
      </w:r>
      <w:r>
        <w:rPr>
          <w:rFonts w:ascii="Arial" w:hAnsi="Arial" w:cs="Arial"/>
        </w:rPr>
        <w:t xml:space="preserve">east 3 over the next 12 months </w:t>
      </w:r>
      <w:r w:rsidR="008663FA" w:rsidRPr="00851BE6">
        <w:rPr>
          <w:rFonts w:ascii="Arial" w:hAnsi="Arial" w:cs="Arial"/>
        </w:rPr>
        <w:t xml:space="preserve">– </w:t>
      </w:r>
      <w:r w:rsidR="008663FA" w:rsidRPr="00851BE6">
        <w:rPr>
          <w:rFonts w:ascii="Arial" w:hAnsi="Arial" w:cs="Arial"/>
          <w:u w:val="single"/>
        </w:rPr>
        <w:t xml:space="preserve">CONFIRMED </w:t>
      </w:r>
    </w:p>
    <w:p w:rsidR="008663FA" w:rsidRPr="000F1A75" w:rsidRDefault="008663FA" w:rsidP="008663FA">
      <w:pPr>
        <w:pStyle w:val="ListParagraph"/>
        <w:jc w:val="both"/>
        <w:rPr>
          <w:rFonts w:ascii="Arial" w:hAnsi="Arial" w:cs="Arial"/>
        </w:rPr>
      </w:pPr>
    </w:p>
    <w:p w:rsidR="008663FA" w:rsidRPr="00851BE6" w:rsidRDefault="008663FA" w:rsidP="00851BE6">
      <w:pPr>
        <w:pStyle w:val="ListParagraph"/>
        <w:numPr>
          <w:ilvl w:val="0"/>
          <w:numId w:val="20"/>
        </w:numPr>
        <w:jc w:val="both"/>
        <w:rPr>
          <w:rFonts w:ascii="Arial" w:hAnsi="Arial" w:cs="Arial"/>
        </w:rPr>
      </w:pPr>
      <w:r>
        <w:rPr>
          <w:rFonts w:ascii="Arial" w:hAnsi="Arial" w:cs="Arial"/>
        </w:rPr>
        <w:t xml:space="preserve"> </w:t>
      </w:r>
      <w:r w:rsidR="00851BE6">
        <w:rPr>
          <w:rFonts w:ascii="Arial" w:hAnsi="Arial" w:cs="Arial"/>
        </w:rPr>
        <w:t xml:space="preserve">The Board is satisfied that plans in place are sufficient to ensure ongoing compliance with all existing targets (after the application of thresholds) as set out in Appendix A of the Risk Assessment Framework; and a commitment to comply with all known existing targets going forwards </w:t>
      </w:r>
      <w:r w:rsidRPr="00851BE6">
        <w:rPr>
          <w:rFonts w:ascii="Arial" w:hAnsi="Arial" w:cs="Arial"/>
        </w:rPr>
        <w:t>–</w:t>
      </w:r>
      <w:r w:rsidR="00851BE6" w:rsidRPr="00851BE6">
        <w:rPr>
          <w:rFonts w:ascii="Arial" w:hAnsi="Arial" w:cs="Arial"/>
          <w:u w:val="single"/>
        </w:rPr>
        <w:t>CONFIRMED</w:t>
      </w:r>
    </w:p>
    <w:p w:rsidR="00190F92" w:rsidRDefault="00190F92" w:rsidP="0038018C">
      <w:pPr>
        <w:jc w:val="both"/>
        <w:rPr>
          <w:rFonts w:ascii="Arial" w:hAnsi="Arial" w:cs="Arial"/>
        </w:rPr>
      </w:pPr>
    </w:p>
    <w:p w:rsidR="006C4992" w:rsidRDefault="00851BE6" w:rsidP="0038018C">
      <w:pPr>
        <w:jc w:val="both"/>
        <w:rPr>
          <w:rFonts w:ascii="Arial" w:hAnsi="Arial" w:cs="Arial"/>
        </w:rPr>
      </w:pPr>
      <w:r>
        <w:rPr>
          <w:rFonts w:ascii="Arial" w:hAnsi="Arial" w:cs="Arial"/>
          <w:i/>
        </w:rPr>
        <w:t>Continuity of Service</w:t>
      </w:r>
      <w:r w:rsidR="006C4992">
        <w:rPr>
          <w:rFonts w:ascii="Arial" w:hAnsi="Arial" w:cs="Arial"/>
          <w:i/>
        </w:rPr>
        <w:t xml:space="preserve"> </w:t>
      </w:r>
      <w:r w:rsidR="008663FA">
        <w:rPr>
          <w:rFonts w:ascii="Arial" w:hAnsi="Arial" w:cs="Arial"/>
          <w:i/>
        </w:rPr>
        <w:t>Risk Rating</w:t>
      </w:r>
      <w:r w:rsidR="006C4992">
        <w:rPr>
          <w:rFonts w:ascii="Arial" w:hAnsi="Arial" w:cs="Arial"/>
          <w:i/>
        </w:rPr>
        <w:t>:</w:t>
      </w:r>
    </w:p>
    <w:p w:rsidR="006C4992" w:rsidRDefault="008663FA" w:rsidP="0038018C">
      <w:pPr>
        <w:jc w:val="both"/>
        <w:rPr>
          <w:rFonts w:ascii="Arial" w:hAnsi="Arial" w:cs="Arial"/>
        </w:rPr>
      </w:pPr>
      <w:r>
        <w:rPr>
          <w:rFonts w:ascii="Arial" w:hAnsi="Arial" w:cs="Arial"/>
        </w:rPr>
        <w:t>The information to support this statement is set out in the Finance Report presented to each Board meeting.  The Director of Finance will provide an overview on this item at the Board meeting and will explain what financial matters w</w:t>
      </w:r>
      <w:r w:rsidR="00ED3297">
        <w:rPr>
          <w:rFonts w:ascii="Arial" w:hAnsi="Arial" w:cs="Arial"/>
        </w:rPr>
        <w:t xml:space="preserve">ill be reported to </w:t>
      </w:r>
      <w:proofErr w:type="gramStart"/>
      <w:r w:rsidR="00ED3297">
        <w:rPr>
          <w:rFonts w:ascii="Arial" w:hAnsi="Arial" w:cs="Arial"/>
        </w:rPr>
        <w:t>Monitor</w:t>
      </w:r>
      <w:proofErr w:type="gramEnd"/>
      <w:r w:rsidR="00ED3297">
        <w:rPr>
          <w:rFonts w:ascii="Arial" w:hAnsi="Arial" w:cs="Arial"/>
        </w:rPr>
        <w:t xml:space="preserve"> in </w:t>
      </w:r>
      <w:r w:rsidR="00851BE6">
        <w:rPr>
          <w:rFonts w:ascii="Arial" w:hAnsi="Arial" w:cs="Arial"/>
        </w:rPr>
        <w:t xml:space="preserve">Quarter </w:t>
      </w:r>
      <w:r w:rsidR="001C17B4">
        <w:rPr>
          <w:rFonts w:ascii="Arial" w:hAnsi="Arial" w:cs="Arial"/>
        </w:rPr>
        <w:t>2</w:t>
      </w:r>
      <w:r>
        <w:rPr>
          <w:rFonts w:ascii="Arial" w:hAnsi="Arial" w:cs="Arial"/>
        </w:rPr>
        <w:t>.</w:t>
      </w:r>
    </w:p>
    <w:p w:rsidR="008663FA" w:rsidRDefault="008663FA" w:rsidP="0038018C">
      <w:pPr>
        <w:jc w:val="both"/>
        <w:rPr>
          <w:rFonts w:ascii="Arial" w:hAnsi="Arial" w:cs="Arial"/>
        </w:rPr>
      </w:pPr>
    </w:p>
    <w:p w:rsidR="008663FA" w:rsidRPr="008663FA" w:rsidRDefault="008663FA" w:rsidP="0038018C">
      <w:pPr>
        <w:jc w:val="both"/>
        <w:rPr>
          <w:rFonts w:ascii="Arial" w:hAnsi="Arial" w:cs="Arial"/>
        </w:rPr>
      </w:pPr>
      <w:r>
        <w:rPr>
          <w:rFonts w:ascii="Arial" w:hAnsi="Arial" w:cs="Arial"/>
          <w:i/>
        </w:rPr>
        <w:t>Targets and Indicators:</w:t>
      </w:r>
    </w:p>
    <w:p w:rsidR="008663FA" w:rsidRDefault="008663FA" w:rsidP="0038018C">
      <w:pPr>
        <w:jc w:val="both"/>
        <w:rPr>
          <w:rFonts w:ascii="Arial" w:hAnsi="Arial" w:cs="Arial"/>
        </w:rPr>
      </w:pPr>
      <w:r>
        <w:rPr>
          <w:rFonts w:ascii="Arial" w:hAnsi="Arial" w:cs="Arial"/>
        </w:rPr>
        <w:t xml:space="preserve">The information to support this statement is set out in the Quality and Performance Report, and Quality and Safety Report presented to each Board meeting.  The Director of Finance, and Director of Nursing and Clinical Standards will provide an overview on this item at the Board meeting.  </w:t>
      </w:r>
    </w:p>
    <w:p w:rsidR="00851BE6" w:rsidRDefault="00851BE6" w:rsidP="0038018C">
      <w:pPr>
        <w:jc w:val="both"/>
        <w:rPr>
          <w:rFonts w:ascii="Arial" w:hAnsi="Arial" w:cs="Arial"/>
        </w:rPr>
      </w:pPr>
    </w:p>
    <w:p w:rsidR="0038018C" w:rsidRPr="004602F2" w:rsidRDefault="0038018C" w:rsidP="0038018C">
      <w:pPr>
        <w:jc w:val="both"/>
        <w:rPr>
          <w:rFonts w:ascii="Arial" w:hAnsi="Arial" w:cs="Arial"/>
        </w:rPr>
      </w:pPr>
    </w:p>
    <w:p w:rsidR="00AF3193" w:rsidRDefault="00E00DF0" w:rsidP="00537C23">
      <w:pPr>
        <w:jc w:val="both"/>
        <w:rPr>
          <w:rFonts w:ascii="Arial" w:hAnsi="Arial" w:cs="Arial"/>
          <w:color w:val="FFFFFF"/>
          <w:lang w:val="en-GB" w:eastAsia="en-GB"/>
        </w:rPr>
      </w:pPr>
      <w:r>
        <w:rPr>
          <w:rFonts w:ascii="Arial" w:hAnsi="Arial" w:cs="Arial"/>
          <w:color w:val="FFFFFF"/>
          <w:lang w:val="en-GB" w:eastAsia="en-GB"/>
        </w:rPr>
        <w:lastRenderedPageBreak/>
        <w:t>=</w:t>
      </w:r>
    </w:p>
    <w:p w:rsidR="000F1A75" w:rsidRPr="00AF3193" w:rsidRDefault="000F1A75" w:rsidP="00AF3193">
      <w:pPr>
        <w:pStyle w:val="ListParagraph"/>
        <w:numPr>
          <w:ilvl w:val="0"/>
          <w:numId w:val="14"/>
        </w:numPr>
        <w:ind w:hanging="720"/>
        <w:jc w:val="both"/>
        <w:rPr>
          <w:rFonts w:ascii="Arial" w:hAnsi="Arial" w:cs="Arial"/>
          <w:b/>
        </w:rPr>
      </w:pPr>
      <w:r w:rsidRPr="00AF3193">
        <w:rPr>
          <w:rFonts w:ascii="Arial" w:hAnsi="Arial" w:cs="Arial"/>
          <w:b/>
        </w:rPr>
        <w:t>Recommendation</w:t>
      </w:r>
    </w:p>
    <w:p w:rsidR="00851BE6" w:rsidRDefault="00851BE6" w:rsidP="00851BE6">
      <w:pPr>
        <w:jc w:val="both"/>
        <w:rPr>
          <w:rFonts w:ascii="Arial" w:hAnsi="Arial" w:cs="Arial"/>
        </w:rPr>
      </w:pPr>
      <w:r>
        <w:rPr>
          <w:rFonts w:ascii="Arial" w:hAnsi="Arial" w:cs="Arial"/>
        </w:rPr>
        <w:t xml:space="preserve">The Board is asked to note what the Trust should report to </w:t>
      </w:r>
      <w:proofErr w:type="gramStart"/>
      <w:r>
        <w:rPr>
          <w:rFonts w:ascii="Arial" w:hAnsi="Arial" w:cs="Arial"/>
        </w:rPr>
        <w:t>Monitor</w:t>
      </w:r>
      <w:proofErr w:type="gramEnd"/>
      <w:r>
        <w:rPr>
          <w:rFonts w:ascii="Arial" w:hAnsi="Arial" w:cs="Arial"/>
        </w:rPr>
        <w:t xml:space="preserve"> as part of the quarterly in-year submission.</w:t>
      </w:r>
    </w:p>
    <w:p w:rsidR="00851BE6" w:rsidRDefault="00851BE6" w:rsidP="00851BE6">
      <w:pPr>
        <w:jc w:val="both"/>
        <w:rPr>
          <w:rFonts w:ascii="Arial" w:hAnsi="Arial" w:cs="Arial"/>
        </w:rPr>
      </w:pPr>
    </w:p>
    <w:p w:rsidR="00851BE6" w:rsidRDefault="00851BE6" w:rsidP="00851BE6">
      <w:pPr>
        <w:jc w:val="both"/>
        <w:rPr>
          <w:rFonts w:ascii="Arial" w:hAnsi="Arial" w:cs="Arial"/>
        </w:rPr>
      </w:pPr>
      <w:r>
        <w:rPr>
          <w:rFonts w:ascii="Arial" w:hAnsi="Arial" w:cs="Arial"/>
        </w:rPr>
        <w:t>The Board is asked to comm</w:t>
      </w:r>
      <w:r w:rsidR="00B56EFA">
        <w:rPr>
          <w:rFonts w:ascii="Arial" w:hAnsi="Arial" w:cs="Arial"/>
        </w:rPr>
        <w:t xml:space="preserve">ent on and approve the Quarter </w:t>
      </w:r>
      <w:r w:rsidR="001C17B4">
        <w:rPr>
          <w:rFonts w:ascii="Arial" w:hAnsi="Arial" w:cs="Arial"/>
        </w:rPr>
        <w:t>2</w:t>
      </w:r>
      <w:r>
        <w:rPr>
          <w:rFonts w:ascii="Arial" w:hAnsi="Arial" w:cs="Arial"/>
        </w:rPr>
        <w:t xml:space="preserve"> submission to Monitor.</w:t>
      </w:r>
    </w:p>
    <w:p w:rsidR="00851BE6" w:rsidRDefault="00851BE6" w:rsidP="00851BE6">
      <w:pPr>
        <w:jc w:val="both"/>
        <w:rPr>
          <w:rFonts w:ascii="Arial" w:hAnsi="Arial" w:cs="Arial"/>
        </w:rPr>
      </w:pPr>
    </w:p>
    <w:p w:rsidR="00851BE6" w:rsidRDefault="00B56EFA" w:rsidP="00851BE6">
      <w:pPr>
        <w:jc w:val="both"/>
        <w:rPr>
          <w:rFonts w:ascii="Arial" w:hAnsi="Arial" w:cs="Arial"/>
        </w:rPr>
      </w:pPr>
      <w:r>
        <w:rPr>
          <w:rFonts w:ascii="Arial" w:hAnsi="Arial" w:cs="Arial"/>
        </w:rPr>
        <w:t xml:space="preserve">As part of the Quarter </w:t>
      </w:r>
      <w:r w:rsidR="001C17B4">
        <w:rPr>
          <w:rFonts w:ascii="Arial" w:hAnsi="Arial" w:cs="Arial"/>
        </w:rPr>
        <w:t>2</w:t>
      </w:r>
      <w:r w:rsidR="00851BE6">
        <w:rPr>
          <w:rFonts w:ascii="Arial" w:hAnsi="Arial" w:cs="Arial"/>
        </w:rPr>
        <w:t xml:space="preserve"> submission, the Board is asked to </w:t>
      </w:r>
      <w:r w:rsidR="000F4E17">
        <w:rPr>
          <w:rFonts w:ascii="Arial" w:hAnsi="Arial" w:cs="Arial"/>
        </w:rPr>
        <w:t>consider</w:t>
      </w:r>
      <w:r w:rsidR="00851BE6">
        <w:rPr>
          <w:rFonts w:ascii="Arial" w:hAnsi="Arial" w:cs="Arial"/>
        </w:rPr>
        <w:t xml:space="preserve"> the following statements:-</w:t>
      </w:r>
    </w:p>
    <w:p w:rsidR="00851BE6" w:rsidRPr="000F1A75" w:rsidRDefault="00851BE6" w:rsidP="00851BE6">
      <w:pPr>
        <w:pStyle w:val="ListParagraph"/>
        <w:numPr>
          <w:ilvl w:val="0"/>
          <w:numId w:val="20"/>
        </w:numPr>
        <w:jc w:val="both"/>
        <w:rPr>
          <w:rFonts w:ascii="Arial" w:hAnsi="Arial" w:cs="Arial"/>
        </w:rPr>
      </w:pPr>
      <w:r>
        <w:rPr>
          <w:rFonts w:ascii="Arial" w:hAnsi="Arial" w:cs="Arial"/>
        </w:rPr>
        <w:t>The Board anticipates that the T</w:t>
      </w:r>
      <w:r w:rsidRPr="00593399">
        <w:rPr>
          <w:rFonts w:ascii="Arial" w:hAnsi="Arial" w:cs="Arial"/>
        </w:rPr>
        <w:t xml:space="preserve">rust will continue to maintain a </w:t>
      </w:r>
      <w:r>
        <w:rPr>
          <w:rFonts w:ascii="Arial" w:hAnsi="Arial" w:cs="Arial"/>
        </w:rPr>
        <w:t>Continuity of Service risk rating</w:t>
      </w:r>
      <w:r w:rsidRPr="00593399">
        <w:rPr>
          <w:rFonts w:ascii="Arial" w:hAnsi="Arial" w:cs="Arial"/>
        </w:rPr>
        <w:t xml:space="preserve"> of at l</w:t>
      </w:r>
      <w:r>
        <w:rPr>
          <w:rFonts w:ascii="Arial" w:hAnsi="Arial" w:cs="Arial"/>
        </w:rPr>
        <w:t>east 3 over the next 12 months.</w:t>
      </w:r>
    </w:p>
    <w:p w:rsidR="00851BE6" w:rsidRPr="00593399" w:rsidRDefault="00851BE6" w:rsidP="00851BE6">
      <w:pPr>
        <w:pStyle w:val="ListParagraph"/>
        <w:numPr>
          <w:ilvl w:val="0"/>
          <w:numId w:val="20"/>
        </w:numPr>
        <w:jc w:val="both"/>
        <w:rPr>
          <w:rFonts w:ascii="Arial" w:hAnsi="Arial" w:cs="Arial"/>
        </w:rPr>
      </w:pPr>
      <w:r>
        <w:rPr>
          <w:rFonts w:ascii="Arial" w:hAnsi="Arial" w:cs="Arial"/>
        </w:rPr>
        <w:t>The Board is satisfied that plans in place are sufficient to ensure ongoing compliance with all existing targets (after the application of thresholds) as set out in Appendix A of the Risk Assessment Framework; and a commitment to comply with all known existing targets going forwards.</w:t>
      </w:r>
    </w:p>
    <w:p w:rsidR="00851BE6" w:rsidRDefault="00851BE6" w:rsidP="00851BE6">
      <w:pPr>
        <w:jc w:val="both"/>
        <w:rPr>
          <w:rFonts w:ascii="Arial" w:hAnsi="Arial" w:cs="Arial"/>
        </w:rPr>
      </w:pPr>
    </w:p>
    <w:p w:rsidR="005D3499" w:rsidRDefault="005D3499">
      <w:pPr>
        <w:jc w:val="both"/>
        <w:rPr>
          <w:rFonts w:ascii="Arial" w:hAnsi="Arial" w:cs="Arial"/>
          <w:b/>
        </w:rPr>
      </w:pPr>
    </w:p>
    <w:p w:rsidR="00AF0562" w:rsidRPr="0073522A" w:rsidRDefault="00AF0562" w:rsidP="00AF0562">
      <w:pPr>
        <w:ind w:left="720"/>
        <w:jc w:val="both"/>
        <w:rPr>
          <w:rFonts w:ascii="Arial" w:hAnsi="Arial" w:cs="Arial"/>
          <w:sz w:val="20"/>
          <w:szCs w:val="20"/>
        </w:rPr>
      </w:pPr>
    </w:p>
    <w:sectPr w:rsidR="00AF0562" w:rsidRPr="0073522A" w:rsidSect="00DE6B28">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7B4" w:rsidRDefault="001C17B4" w:rsidP="005B3E3C">
      <w:r>
        <w:separator/>
      </w:r>
    </w:p>
  </w:endnote>
  <w:endnote w:type="continuationSeparator" w:id="0">
    <w:p w:rsidR="001C17B4" w:rsidRDefault="001C17B4"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B4" w:rsidRDefault="0039793F">
    <w:pPr>
      <w:pStyle w:val="Footer"/>
      <w:jc w:val="center"/>
    </w:pPr>
    <w:fldSimple w:instr=" PAGE   \* MERGEFORMAT ">
      <w:r w:rsidR="00527D5A">
        <w:rPr>
          <w:noProof/>
        </w:rPr>
        <w:t>1</w:t>
      </w:r>
    </w:fldSimple>
  </w:p>
  <w:p w:rsidR="001C17B4" w:rsidRDefault="001C17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7B4" w:rsidRDefault="001C17B4" w:rsidP="005B3E3C">
      <w:r>
        <w:separator/>
      </w:r>
    </w:p>
  </w:footnote>
  <w:footnote w:type="continuationSeparator" w:id="0">
    <w:p w:rsidR="001C17B4" w:rsidRDefault="001C17B4"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B4" w:rsidRPr="005B3E3C" w:rsidRDefault="001C17B4" w:rsidP="005B3E3C">
    <w:pPr>
      <w:pStyle w:val="Header"/>
      <w:jc w:val="center"/>
      <w:rPr>
        <w:rFonts w:ascii="Arial" w:hAnsi="Arial" w:cs="Arial"/>
      </w:rPr>
    </w:pPr>
    <w:r>
      <w:rPr>
        <w:rFonts w:ascii="Arial" w:hAnsi="Arial" w:cs="Arial"/>
        <w:b/>
        <w:i/>
      </w:rPr>
      <w:t>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8C8"/>
    <w:multiLevelType w:val="hybridMultilevel"/>
    <w:tmpl w:val="8764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50E49"/>
    <w:multiLevelType w:val="hybridMultilevel"/>
    <w:tmpl w:val="FC32A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B6305"/>
    <w:multiLevelType w:val="hybridMultilevel"/>
    <w:tmpl w:val="7D48BDCA"/>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B">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046A7F"/>
    <w:multiLevelType w:val="hybridMultilevel"/>
    <w:tmpl w:val="B41A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0C4FDB"/>
    <w:multiLevelType w:val="hybridMultilevel"/>
    <w:tmpl w:val="9FC266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B41333"/>
    <w:multiLevelType w:val="hybridMultilevel"/>
    <w:tmpl w:val="9DC03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AE10EB"/>
    <w:multiLevelType w:val="hybridMultilevel"/>
    <w:tmpl w:val="4C62C552"/>
    <w:lvl w:ilvl="0" w:tplc="4DFACB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9E72A4"/>
    <w:multiLevelType w:val="hybridMultilevel"/>
    <w:tmpl w:val="FAC28BF4"/>
    <w:lvl w:ilvl="0" w:tplc="1694808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A41950"/>
    <w:multiLevelType w:val="hybridMultilevel"/>
    <w:tmpl w:val="4BF2E3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493204"/>
    <w:multiLevelType w:val="hybridMultilevel"/>
    <w:tmpl w:val="2382AE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BAB5A28"/>
    <w:multiLevelType w:val="hybridMultilevel"/>
    <w:tmpl w:val="6C7E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6B1EBD"/>
    <w:multiLevelType w:val="hybridMultilevel"/>
    <w:tmpl w:val="F6A6F31C"/>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B">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55B6DF9"/>
    <w:multiLevelType w:val="hybridMultilevel"/>
    <w:tmpl w:val="13F2A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B6079F"/>
    <w:multiLevelType w:val="hybridMultilevel"/>
    <w:tmpl w:val="3C70FF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6E7604C"/>
    <w:multiLevelType w:val="hybridMultilevel"/>
    <w:tmpl w:val="A30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7DA2954"/>
    <w:multiLevelType w:val="hybridMultilevel"/>
    <w:tmpl w:val="D29E9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A338B8"/>
    <w:multiLevelType w:val="hybridMultilevel"/>
    <w:tmpl w:val="3BC0AB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4D6884"/>
    <w:multiLevelType w:val="hybridMultilevel"/>
    <w:tmpl w:val="B00A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930A94"/>
    <w:multiLevelType w:val="hybridMultilevel"/>
    <w:tmpl w:val="09F44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BF0964"/>
    <w:multiLevelType w:val="hybridMultilevel"/>
    <w:tmpl w:val="CEFC1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AA1018"/>
    <w:multiLevelType w:val="hybridMultilevel"/>
    <w:tmpl w:val="B3101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957050"/>
    <w:multiLevelType w:val="hybridMultilevel"/>
    <w:tmpl w:val="075C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6D1DCA"/>
    <w:multiLevelType w:val="hybridMultilevel"/>
    <w:tmpl w:val="1D36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BEE3808"/>
    <w:multiLevelType w:val="hybridMultilevel"/>
    <w:tmpl w:val="0A0AA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F2A4D44"/>
    <w:multiLevelType w:val="hybridMultilevel"/>
    <w:tmpl w:val="BA4E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3"/>
  </w:num>
  <w:num w:numId="4">
    <w:abstractNumId w:val="2"/>
  </w:num>
  <w:num w:numId="5">
    <w:abstractNumId w:val="9"/>
  </w:num>
  <w:num w:numId="6">
    <w:abstractNumId w:val="4"/>
  </w:num>
  <w:num w:numId="7">
    <w:abstractNumId w:val="12"/>
  </w:num>
  <w:num w:numId="8">
    <w:abstractNumId w:val="25"/>
  </w:num>
  <w:num w:numId="9">
    <w:abstractNumId w:val="8"/>
  </w:num>
  <w:num w:numId="10">
    <w:abstractNumId w:val="11"/>
  </w:num>
  <w:num w:numId="11">
    <w:abstractNumId w:val="3"/>
  </w:num>
  <w:num w:numId="12">
    <w:abstractNumId w:val="22"/>
  </w:num>
  <w:num w:numId="13">
    <w:abstractNumId w:val="6"/>
  </w:num>
  <w:num w:numId="14">
    <w:abstractNumId w:val="5"/>
  </w:num>
  <w:num w:numId="15">
    <w:abstractNumId w:val="21"/>
  </w:num>
  <w:num w:numId="16">
    <w:abstractNumId w:val="1"/>
  </w:num>
  <w:num w:numId="17">
    <w:abstractNumId w:val="17"/>
  </w:num>
  <w:num w:numId="18">
    <w:abstractNumId w:val="18"/>
  </w:num>
  <w:num w:numId="19">
    <w:abstractNumId w:val="0"/>
  </w:num>
  <w:num w:numId="20">
    <w:abstractNumId w:val="10"/>
  </w:num>
  <w:num w:numId="21">
    <w:abstractNumId w:val="14"/>
  </w:num>
  <w:num w:numId="22">
    <w:abstractNumId w:val="16"/>
  </w:num>
  <w:num w:numId="23">
    <w:abstractNumId w:val="20"/>
  </w:num>
  <w:num w:numId="24">
    <w:abstractNumId w:val="26"/>
  </w:num>
  <w:num w:numId="25">
    <w:abstractNumId w:val="23"/>
  </w:num>
  <w:num w:numId="26">
    <w:abstractNumId w:val="7"/>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63489"/>
  </w:hdrShapeDefaults>
  <w:footnotePr>
    <w:footnote w:id="-1"/>
    <w:footnote w:id="0"/>
  </w:footnotePr>
  <w:endnotePr>
    <w:endnote w:id="-1"/>
    <w:endnote w:id="0"/>
  </w:endnotePr>
  <w:compat/>
  <w:rsids>
    <w:rsidRoot w:val="002A73E8"/>
    <w:rsid w:val="00000F37"/>
    <w:rsid w:val="00003D74"/>
    <w:rsid w:val="00022B45"/>
    <w:rsid w:val="00025441"/>
    <w:rsid w:val="000541FA"/>
    <w:rsid w:val="000C32A2"/>
    <w:rsid w:val="000C58B3"/>
    <w:rsid w:val="000F1A75"/>
    <w:rsid w:val="000F4E17"/>
    <w:rsid w:val="001162B7"/>
    <w:rsid w:val="001329F1"/>
    <w:rsid w:val="001355EC"/>
    <w:rsid w:val="00146198"/>
    <w:rsid w:val="001507EF"/>
    <w:rsid w:val="00166CF1"/>
    <w:rsid w:val="00182E47"/>
    <w:rsid w:val="00190F92"/>
    <w:rsid w:val="001A5E95"/>
    <w:rsid w:val="001C14A1"/>
    <w:rsid w:val="001C17B4"/>
    <w:rsid w:val="001D5B24"/>
    <w:rsid w:val="001F76ED"/>
    <w:rsid w:val="00211B1F"/>
    <w:rsid w:val="00220EAE"/>
    <w:rsid w:val="00224FA8"/>
    <w:rsid w:val="00227FCE"/>
    <w:rsid w:val="00237CB4"/>
    <w:rsid w:val="00245ED8"/>
    <w:rsid w:val="002619EF"/>
    <w:rsid w:val="00266710"/>
    <w:rsid w:val="002712E4"/>
    <w:rsid w:val="00275246"/>
    <w:rsid w:val="002821F8"/>
    <w:rsid w:val="00292613"/>
    <w:rsid w:val="00293618"/>
    <w:rsid w:val="002A73E8"/>
    <w:rsid w:val="002C2F97"/>
    <w:rsid w:val="002E59FA"/>
    <w:rsid w:val="002E6FC6"/>
    <w:rsid w:val="002F150E"/>
    <w:rsid w:val="003145DD"/>
    <w:rsid w:val="003177C9"/>
    <w:rsid w:val="0033327E"/>
    <w:rsid w:val="00376B7B"/>
    <w:rsid w:val="0038018C"/>
    <w:rsid w:val="003971F6"/>
    <w:rsid w:val="0039793F"/>
    <w:rsid w:val="00416774"/>
    <w:rsid w:val="0042776F"/>
    <w:rsid w:val="004326BB"/>
    <w:rsid w:val="00432E50"/>
    <w:rsid w:val="004602F2"/>
    <w:rsid w:val="004F196D"/>
    <w:rsid w:val="004F4BBA"/>
    <w:rsid w:val="005233AA"/>
    <w:rsid w:val="00527D5A"/>
    <w:rsid w:val="00537C23"/>
    <w:rsid w:val="00551B0F"/>
    <w:rsid w:val="00554ECC"/>
    <w:rsid w:val="005659FB"/>
    <w:rsid w:val="00582ACF"/>
    <w:rsid w:val="00593399"/>
    <w:rsid w:val="00596556"/>
    <w:rsid w:val="005A1195"/>
    <w:rsid w:val="005B3E3C"/>
    <w:rsid w:val="005B71DA"/>
    <w:rsid w:val="005C3FC1"/>
    <w:rsid w:val="005D3499"/>
    <w:rsid w:val="005D6FBA"/>
    <w:rsid w:val="005E2583"/>
    <w:rsid w:val="005E72B7"/>
    <w:rsid w:val="005F2E83"/>
    <w:rsid w:val="00602003"/>
    <w:rsid w:val="0061684E"/>
    <w:rsid w:val="00625264"/>
    <w:rsid w:val="0063370D"/>
    <w:rsid w:val="00640E74"/>
    <w:rsid w:val="0067677F"/>
    <w:rsid w:val="006B4ABF"/>
    <w:rsid w:val="006C4992"/>
    <w:rsid w:val="007338A7"/>
    <w:rsid w:val="0073522A"/>
    <w:rsid w:val="007769CD"/>
    <w:rsid w:val="0078032B"/>
    <w:rsid w:val="00780788"/>
    <w:rsid w:val="007976E7"/>
    <w:rsid w:val="007A3DEA"/>
    <w:rsid w:val="007F5749"/>
    <w:rsid w:val="008038A2"/>
    <w:rsid w:val="00811FE8"/>
    <w:rsid w:val="00824214"/>
    <w:rsid w:val="00835660"/>
    <w:rsid w:val="00850DBD"/>
    <w:rsid w:val="00851BE6"/>
    <w:rsid w:val="0086436B"/>
    <w:rsid w:val="008663FA"/>
    <w:rsid w:val="00894B97"/>
    <w:rsid w:val="008D3D68"/>
    <w:rsid w:val="008D72C9"/>
    <w:rsid w:val="008E7E7E"/>
    <w:rsid w:val="00907E70"/>
    <w:rsid w:val="0093062C"/>
    <w:rsid w:val="00946E6E"/>
    <w:rsid w:val="00983DAC"/>
    <w:rsid w:val="009C058B"/>
    <w:rsid w:val="009C1BE0"/>
    <w:rsid w:val="009D6F5C"/>
    <w:rsid w:val="009E4327"/>
    <w:rsid w:val="00A1210D"/>
    <w:rsid w:val="00A2776E"/>
    <w:rsid w:val="00A80D21"/>
    <w:rsid w:val="00A85311"/>
    <w:rsid w:val="00AC3814"/>
    <w:rsid w:val="00AF0562"/>
    <w:rsid w:val="00AF3193"/>
    <w:rsid w:val="00B26E1A"/>
    <w:rsid w:val="00B34C30"/>
    <w:rsid w:val="00B403C8"/>
    <w:rsid w:val="00B46BD5"/>
    <w:rsid w:val="00B50D5E"/>
    <w:rsid w:val="00B56EFA"/>
    <w:rsid w:val="00B6269D"/>
    <w:rsid w:val="00B928E2"/>
    <w:rsid w:val="00BA3B3E"/>
    <w:rsid w:val="00BB1E3A"/>
    <w:rsid w:val="00BB3215"/>
    <w:rsid w:val="00BF5367"/>
    <w:rsid w:val="00C07817"/>
    <w:rsid w:val="00C11AA2"/>
    <w:rsid w:val="00C135CD"/>
    <w:rsid w:val="00C13B89"/>
    <w:rsid w:val="00C46E27"/>
    <w:rsid w:val="00C53495"/>
    <w:rsid w:val="00C87D3A"/>
    <w:rsid w:val="00CB32C4"/>
    <w:rsid w:val="00CC7ED3"/>
    <w:rsid w:val="00CF5D31"/>
    <w:rsid w:val="00D07064"/>
    <w:rsid w:val="00D279FC"/>
    <w:rsid w:val="00D3552F"/>
    <w:rsid w:val="00D437E8"/>
    <w:rsid w:val="00D55ADD"/>
    <w:rsid w:val="00D8544F"/>
    <w:rsid w:val="00DA0FA6"/>
    <w:rsid w:val="00DA59FF"/>
    <w:rsid w:val="00DB4A51"/>
    <w:rsid w:val="00DD33DF"/>
    <w:rsid w:val="00DD7856"/>
    <w:rsid w:val="00DE1293"/>
    <w:rsid w:val="00DE6B28"/>
    <w:rsid w:val="00DF590D"/>
    <w:rsid w:val="00E00DF0"/>
    <w:rsid w:val="00E07FAA"/>
    <w:rsid w:val="00E21E88"/>
    <w:rsid w:val="00E22A07"/>
    <w:rsid w:val="00E63875"/>
    <w:rsid w:val="00E71A88"/>
    <w:rsid w:val="00E827C5"/>
    <w:rsid w:val="00ED2939"/>
    <w:rsid w:val="00ED3297"/>
    <w:rsid w:val="00F4113A"/>
    <w:rsid w:val="00F42EFB"/>
    <w:rsid w:val="00F44F15"/>
    <w:rsid w:val="00F57119"/>
    <w:rsid w:val="00F7034F"/>
    <w:rsid w:val="00F82E18"/>
    <w:rsid w:val="00F87B55"/>
    <w:rsid w:val="00FB11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B28"/>
    <w:rPr>
      <w:sz w:val="24"/>
      <w:szCs w:val="24"/>
      <w:lang w:val="en-US" w:eastAsia="en-US"/>
    </w:rPr>
  </w:style>
  <w:style w:type="paragraph" w:styleId="Heading1">
    <w:name w:val="heading 1"/>
    <w:basedOn w:val="Normal"/>
    <w:next w:val="Normal"/>
    <w:qFormat/>
    <w:rsid w:val="00DE6B28"/>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B28"/>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customStyle="1" w:styleId="Default">
    <w:name w:val="Default"/>
    <w:rsid w:val="00237CB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D6F5C"/>
    <w:rPr>
      <w:rFonts w:ascii="Tahoma" w:hAnsi="Tahoma" w:cs="Tahoma"/>
      <w:sz w:val="16"/>
      <w:szCs w:val="16"/>
    </w:rPr>
  </w:style>
  <w:style w:type="character" w:customStyle="1" w:styleId="BalloonTextChar">
    <w:name w:val="Balloon Text Char"/>
    <w:basedOn w:val="DefaultParagraphFont"/>
    <w:link w:val="BalloonText"/>
    <w:rsid w:val="009D6F5C"/>
    <w:rPr>
      <w:rFonts w:ascii="Tahoma" w:hAnsi="Tahoma" w:cs="Tahoma"/>
      <w:sz w:val="16"/>
      <w:szCs w:val="16"/>
      <w:lang w:val="en-US" w:eastAsia="en-US"/>
    </w:rPr>
  </w:style>
  <w:style w:type="paragraph" w:styleId="ListParagraph">
    <w:name w:val="List Paragraph"/>
    <w:basedOn w:val="Normal"/>
    <w:uiPriority w:val="34"/>
    <w:qFormat/>
    <w:rsid w:val="001C14A1"/>
    <w:pPr>
      <w:ind w:left="720"/>
      <w:contextualSpacing/>
    </w:pPr>
  </w:style>
  <w:style w:type="character" w:styleId="Hyperlink">
    <w:name w:val="Hyperlink"/>
    <w:basedOn w:val="DefaultParagraphFont"/>
    <w:rsid w:val="00FB11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69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gov.uk/government/uploads/system/uploads/attachment_data/file/299929/RAF_Update_AppC_1April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F7D6D-DD0A-4399-86FB-2C715B8F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4</cp:revision>
  <cp:lastPrinted>2012-04-18T09:26:00Z</cp:lastPrinted>
  <dcterms:created xsi:type="dcterms:W3CDTF">2014-10-16T09:54:00Z</dcterms:created>
  <dcterms:modified xsi:type="dcterms:W3CDTF">2014-10-17T09:28:00Z</dcterms:modified>
</cp:coreProperties>
</file>