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1A5C5A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065" cy="50482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822AA0" w:rsidRPr="006C2B8B" w:rsidRDefault="003D6208" w:rsidP="006C2B8B">
      <w:pPr>
        <w:jc w:val="center"/>
        <w:rPr>
          <w:rFonts w:ascii="Frutiger" w:hAnsi="Frutiger"/>
        </w:rPr>
      </w:pPr>
      <w:r w:rsidRPr="003D6208">
        <w:rPr>
          <w:noProof/>
          <w:sz w:val="20"/>
        </w:rPr>
        <w:pict>
          <v:rect id="_x0000_s1034" style="position:absolute;left:0;text-align:left;margin-left:379.9pt;margin-top:6.75pt;width:108pt;height:45pt;z-index:251657728">
            <v:textbox inset="0,0,0,0">
              <w:txbxContent>
                <w:p w:rsidR="00781566" w:rsidRDefault="0078156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81566" w:rsidRDefault="001A5C5A">
                  <w:pPr>
                    <w:pStyle w:val="BodyText"/>
                    <w:rPr>
                      <w:b w:val="0"/>
                      <w:sz w:val="22"/>
                    </w:rPr>
                  </w:pPr>
                  <w:r>
                    <w:rPr>
                      <w:sz w:val="22"/>
                    </w:rPr>
                    <w:t>BO</w:t>
                  </w:r>
                  <w:r w:rsidR="004B633F">
                    <w:rPr>
                      <w:sz w:val="22"/>
                    </w:rPr>
                    <w:t>D</w:t>
                  </w:r>
                  <w:r w:rsidR="002D7C41">
                    <w:rPr>
                      <w:sz w:val="22"/>
                    </w:rPr>
                    <w:t xml:space="preserve"> 5</w:t>
                  </w:r>
                  <w:r>
                    <w:rPr>
                      <w:sz w:val="22"/>
                    </w:rPr>
                    <w:t>2</w:t>
                  </w:r>
                  <w:r w:rsidR="00B606D5">
                    <w:rPr>
                      <w:sz w:val="22"/>
                    </w:rPr>
                    <w:t>/2014</w:t>
                  </w:r>
                </w:p>
                <w:p w:rsidR="002D7C41" w:rsidRPr="002D7C41" w:rsidRDefault="002D7C41">
                  <w:pPr>
                    <w:pStyle w:val="BodyTex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(Agenda item: 1</w:t>
                  </w:r>
                  <w:r w:rsidR="001A5C5A">
                    <w:rPr>
                      <w:b w:val="0"/>
                      <w:sz w:val="22"/>
                    </w:rPr>
                    <w:t>3</w:t>
                  </w:r>
                  <w:r>
                    <w:rPr>
                      <w:b w:val="0"/>
                      <w:sz w:val="22"/>
                    </w:rPr>
                    <w:t>)</w:t>
                  </w:r>
                </w:p>
                <w:p w:rsidR="00781566" w:rsidRDefault="0078156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4B63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April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 w:rsidR="001F1905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1F1905" w:rsidP="00CD47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Assurance Framework</w:t>
      </w:r>
      <w:r w:rsidR="00FA00E4">
        <w:rPr>
          <w:rFonts w:ascii="Arial" w:hAnsi="Arial" w:cs="Arial"/>
          <w:b/>
        </w:rPr>
        <w:t xml:space="preserve"> (BAF)</w:t>
      </w:r>
      <w:r w:rsidR="004B633F">
        <w:rPr>
          <w:rFonts w:ascii="Arial" w:hAnsi="Arial" w:cs="Arial"/>
          <w:b/>
        </w:rPr>
        <w:t xml:space="preserve"> Q4</w:t>
      </w:r>
      <w:r>
        <w:rPr>
          <w:rFonts w:ascii="Arial" w:hAnsi="Arial" w:cs="Arial"/>
          <w:b/>
        </w:rPr>
        <w:t xml:space="preserve"> Report</w:t>
      </w:r>
    </w:p>
    <w:p w:rsidR="005D3499" w:rsidRDefault="005D3499">
      <w:pPr>
        <w:rPr>
          <w:rFonts w:ascii="Arial" w:hAnsi="Arial" w:cs="Arial"/>
          <w:b/>
        </w:rPr>
      </w:pPr>
    </w:p>
    <w:p w:rsidR="005D3499" w:rsidRPr="001A5C5A" w:rsidRDefault="00B606D5" w:rsidP="001A5C5A">
      <w:pPr>
        <w:rPr>
          <w:rFonts w:ascii="Arial" w:hAnsi="Arial" w:cs="Arial"/>
          <w:u w:val="single"/>
        </w:rPr>
      </w:pPr>
      <w:r w:rsidRPr="001A5C5A">
        <w:rPr>
          <w:rFonts w:ascii="Arial" w:hAnsi="Arial" w:cs="Arial"/>
          <w:b/>
          <w:u w:val="single"/>
        </w:rPr>
        <w:t>For</w:t>
      </w:r>
      <w:r w:rsidR="00A11F2E" w:rsidRPr="001A5C5A">
        <w:rPr>
          <w:rFonts w:ascii="Arial" w:hAnsi="Arial" w:cs="Arial"/>
          <w:b/>
          <w:u w:val="single"/>
        </w:rPr>
        <w:t xml:space="preserve"> </w:t>
      </w:r>
      <w:r w:rsidR="00292613" w:rsidRPr="001A5C5A">
        <w:rPr>
          <w:rFonts w:ascii="Arial" w:hAnsi="Arial" w:cs="Arial"/>
          <w:b/>
          <w:u w:val="single"/>
        </w:rPr>
        <w:t>Information</w:t>
      </w:r>
    </w:p>
    <w:p w:rsidR="005C3FC1" w:rsidRDefault="005C3FC1" w:rsidP="0073522A">
      <w:pPr>
        <w:jc w:val="both"/>
        <w:rPr>
          <w:rFonts w:ascii="Arial" w:hAnsi="Arial" w:cs="Arial"/>
          <w:b/>
        </w:rPr>
      </w:pPr>
    </w:p>
    <w:p w:rsidR="00BA3B3E" w:rsidRDefault="00A11F2E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Executive Summary </w:t>
      </w:r>
    </w:p>
    <w:p w:rsidR="00BA3B3E" w:rsidRDefault="00BA3B3E" w:rsidP="0073522A">
      <w:pPr>
        <w:jc w:val="both"/>
        <w:rPr>
          <w:rFonts w:ascii="Arial" w:hAnsi="Arial" w:cs="Arial"/>
        </w:rPr>
      </w:pPr>
    </w:p>
    <w:p w:rsidR="00BA3B3E" w:rsidRDefault="00EC354F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report </w:t>
      </w:r>
      <w:r w:rsidR="004B633F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posi</w:t>
      </w:r>
      <w:r w:rsidR="004B633F">
        <w:rPr>
          <w:rFonts w:ascii="Arial" w:hAnsi="Arial" w:cs="Arial"/>
        </w:rPr>
        <w:t xml:space="preserve">tion of the BAF at the end of Q4 is provided </w:t>
      </w:r>
      <w:r w:rsidR="00C00BAF">
        <w:rPr>
          <w:rFonts w:ascii="Arial" w:hAnsi="Arial" w:cs="Arial"/>
        </w:rPr>
        <w:t>in conjunction with</w:t>
      </w:r>
      <w:r>
        <w:rPr>
          <w:rFonts w:ascii="Arial" w:hAnsi="Arial" w:cs="Arial"/>
        </w:rPr>
        <w:t xml:space="preserve"> the Trust’s annual planning </w:t>
      </w:r>
      <w:r w:rsidR="00C00BAF">
        <w:rPr>
          <w:rFonts w:ascii="Arial" w:hAnsi="Arial" w:cs="Arial"/>
        </w:rPr>
        <w:t>quarterly progress reports and the</w:t>
      </w:r>
      <w:r w:rsidR="00B60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in-year reporting to Monitor.  </w:t>
      </w:r>
    </w:p>
    <w:p w:rsidR="00103E0A" w:rsidRDefault="00103E0A" w:rsidP="0073522A">
      <w:pPr>
        <w:jc w:val="both"/>
        <w:rPr>
          <w:rFonts w:ascii="Arial" w:hAnsi="Arial" w:cs="Arial"/>
        </w:rPr>
      </w:pPr>
    </w:p>
    <w:p w:rsidR="00103E0A" w:rsidRDefault="00103E0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BAF sets out the strategic risks to the Trust achieving its 7 Strategic Objectives</w:t>
      </w:r>
      <w:r w:rsidR="00030E59">
        <w:rPr>
          <w:rFonts w:ascii="Arial" w:hAnsi="Arial" w:cs="Arial"/>
        </w:rPr>
        <w:t xml:space="preserve"> and underpins the statutory requirement t</w:t>
      </w:r>
      <w:r w:rsidR="00C00BAF">
        <w:rPr>
          <w:rFonts w:ascii="Arial" w:hAnsi="Arial" w:cs="Arial"/>
        </w:rPr>
        <w:t>o produce an Annual Governance S</w:t>
      </w:r>
      <w:r w:rsidR="00030E59">
        <w:rPr>
          <w:rFonts w:ascii="Arial" w:hAnsi="Arial" w:cs="Arial"/>
        </w:rPr>
        <w:t>tatement which confirms that the Trust is appropriately and effectively governed and managed.  The Strategic Objectives of the Trust (since 2012) are</w:t>
      </w:r>
      <w:r>
        <w:rPr>
          <w:rFonts w:ascii="Arial" w:hAnsi="Arial" w:cs="Arial"/>
        </w:rPr>
        <w:t>:</w:t>
      </w:r>
    </w:p>
    <w:p w:rsidR="00103E0A" w:rsidRDefault="00103E0A" w:rsidP="0073522A">
      <w:pPr>
        <w:jc w:val="both"/>
        <w:rPr>
          <w:rFonts w:ascii="Arial" w:hAnsi="Arial" w:cs="Arial"/>
        </w:rPr>
      </w:pPr>
    </w:p>
    <w:p w:rsidR="00103E0A" w:rsidRDefault="00103E0A" w:rsidP="00103E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Driving Quality Improvement</w:t>
      </w:r>
    </w:p>
    <w:p w:rsidR="00103E0A" w:rsidRDefault="00103E0A" w:rsidP="00103E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Delivering Operational Excellence</w:t>
      </w:r>
    </w:p>
    <w:p w:rsidR="00103E0A" w:rsidRDefault="00103E0A" w:rsidP="00103E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Delivering Innovation, Learning and Teaching</w:t>
      </w:r>
    </w:p>
    <w:p w:rsidR="00103E0A" w:rsidRDefault="00103E0A" w:rsidP="00103E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Developing Our Business</w:t>
      </w:r>
    </w:p>
    <w:p w:rsidR="00103E0A" w:rsidRDefault="00103E0A" w:rsidP="00103E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Developing Leadership, People and Culture</w:t>
      </w:r>
    </w:p>
    <w:p w:rsidR="00103E0A" w:rsidRDefault="00103E0A" w:rsidP="00103E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Getting the most out of Technology</w:t>
      </w:r>
    </w:p>
    <w:p w:rsidR="00103E0A" w:rsidRDefault="00103E0A" w:rsidP="00103E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Using our Estate efficiently</w:t>
      </w:r>
    </w:p>
    <w:p w:rsidR="00103E0A" w:rsidRDefault="00103E0A" w:rsidP="0073522A">
      <w:pPr>
        <w:jc w:val="both"/>
        <w:rPr>
          <w:rFonts w:ascii="Arial" w:hAnsi="Arial" w:cs="Arial"/>
        </w:rPr>
      </w:pPr>
    </w:p>
    <w:p w:rsidR="00734BE0" w:rsidRDefault="00CE0DB9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BAF has</w:t>
      </w:r>
      <w:r w:rsidR="00C00BAF">
        <w:rPr>
          <w:rFonts w:ascii="Arial" w:hAnsi="Arial" w:cs="Arial"/>
        </w:rPr>
        <w:t xml:space="preserve"> </w:t>
      </w:r>
      <w:r w:rsidR="00C511E5">
        <w:rPr>
          <w:rFonts w:ascii="Arial" w:hAnsi="Arial" w:cs="Arial"/>
        </w:rPr>
        <w:t xml:space="preserve">most recently </w:t>
      </w:r>
      <w:r w:rsidR="00C00BAF">
        <w:rPr>
          <w:rFonts w:ascii="Arial" w:hAnsi="Arial" w:cs="Arial"/>
        </w:rPr>
        <w:t xml:space="preserve">been </w:t>
      </w:r>
      <w:r w:rsidR="00643984">
        <w:rPr>
          <w:rFonts w:ascii="Arial" w:hAnsi="Arial" w:cs="Arial"/>
        </w:rPr>
        <w:t xml:space="preserve">reviewed by the </w:t>
      </w:r>
      <w:r w:rsidR="00C511E5">
        <w:rPr>
          <w:rFonts w:ascii="Arial" w:hAnsi="Arial" w:cs="Arial"/>
        </w:rPr>
        <w:t xml:space="preserve">Executive and the Audit Committee in April 2014 and it will be presented to </w:t>
      </w:r>
      <w:r w:rsidR="00C00BAF">
        <w:rPr>
          <w:rFonts w:ascii="Arial" w:hAnsi="Arial" w:cs="Arial"/>
        </w:rPr>
        <w:t>the</w:t>
      </w:r>
      <w:r w:rsidR="00C511E5">
        <w:rPr>
          <w:rFonts w:ascii="Arial" w:hAnsi="Arial" w:cs="Arial"/>
        </w:rPr>
        <w:t xml:space="preserve"> Integrated Governance Committee and the Board Seminar in May 2014</w:t>
      </w:r>
      <w:r w:rsidR="00C00BAF">
        <w:rPr>
          <w:rFonts w:ascii="Arial" w:hAnsi="Arial" w:cs="Arial"/>
        </w:rPr>
        <w:t>.</w:t>
      </w:r>
      <w:r w:rsidR="00D10ACA">
        <w:rPr>
          <w:rFonts w:ascii="Arial" w:hAnsi="Arial" w:cs="Arial"/>
        </w:rPr>
        <w:t xml:space="preserve">  Following </w:t>
      </w:r>
      <w:bookmarkStart w:id="0" w:name="_GoBack"/>
      <w:bookmarkEnd w:id="0"/>
      <w:r w:rsidR="00734BE0">
        <w:rPr>
          <w:rFonts w:ascii="Arial" w:hAnsi="Arial" w:cs="Arial"/>
        </w:rPr>
        <w:t>review:</w:t>
      </w:r>
    </w:p>
    <w:p w:rsidR="00734BE0" w:rsidRDefault="00CB6D6F" w:rsidP="00734BE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two new risk areas were identified in relation to Strategic Objective 5 for further development and inclusion in future BAF reporting around: training, development and education; an</w:t>
      </w:r>
      <w:r w:rsidR="00734BE0">
        <w:rPr>
          <w:rFonts w:ascii="Arial" w:hAnsi="Arial" w:cs="Arial"/>
        </w:rPr>
        <w:t xml:space="preserve">d operational supply and demand; and </w:t>
      </w:r>
    </w:p>
    <w:p w:rsidR="006C2B8B" w:rsidRPr="00397D39" w:rsidRDefault="00C511E5" w:rsidP="00397D3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34BE0">
        <w:rPr>
          <w:rFonts w:ascii="Arial" w:hAnsi="Arial" w:cs="Arial"/>
        </w:rPr>
        <w:t xml:space="preserve">the net and target risk ratings </w:t>
      </w:r>
      <w:r w:rsidR="00CD4771" w:rsidRPr="00734BE0">
        <w:rPr>
          <w:rFonts w:ascii="Arial" w:hAnsi="Arial" w:cs="Arial"/>
        </w:rPr>
        <w:t xml:space="preserve">can be summarized </w:t>
      </w:r>
      <w:r w:rsidR="00AA788E">
        <w:rPr>
          <w:rFonts w:ascii="Arial" w:hAnsi="Arial" w:cs="Arial"/>
        </w:rPr>
        <w:t>as set out below (subject to the potential for the net risk rating for SO 4.2 to be reconsidered following discussion at the Audit Committee meeting</w:t>
      </w:r>
      <w:r w:rsidR="006C2B8B">
        <w:rPr>
          <w:rFonts w:ascii="Arial" w:hAnsi="Arial" w:cs="Arial"/>
        </w:rPr>
        <w:t xml:space="preserve"> on likelihood</w:t>
      </w:r>
      <w:r w:rsidR="00397D39">
        <w:rPr>
          <w:rFonts w:ascii="Arial" w:hAnsi="Arial" w:cs="Arial"/>
        </w:rPr>
        <w:t xml:space="preserve"> and noting that all risk ratings are subject to regular review and potential change</w:t>
      </w:r>
      <w:r w:rsidR="00AA788E">
        <w:rPr>
          <w:rFonts w:ascii="Arial" w:hAnsi="Arial" w:cs="Arial"/>
        </w:rPr>
        <w:t>).</w:t>
      </w:r>
    </w:p>
    <w:tbl>
      <w:tblPr>
        <w:tblW w:w="6904" w:type="dxa"/>
        <w:tblInd w:w="93" w:type="dxa"/>
        <w:tblLook w:val="04A0"/>
      </w:tblPr>
      <w:tblGrid>
        <w:gridCol w:w="891"/>
        <w:gridCol w:w="1474"/>
        <w:gridCol w:w="891"/>
        <w:gridCol w:w="1028"/>
        <w:gridCol w:w="1032"/>
        <w:gridCol w:w="891"/>
        <w:gridCol w:w="924"/>
      </w:tblGrid>
      <w:tr w:rsidR="00CE0DB9" w:rsidTr="00CE0DB9">
        <w:trPr>
          <w:trHeight w:val="269"/>
        </w:trPr>
        <w:tc>
          <w:tcPr>
            <w:tcW w:w="690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DB9" w:rsidRDefault="00CE0DB9" w:rsidP="00AA78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Where we are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Position of BAF risks (using Net/residual risk rating)</w:t>
            </w:r>
          </w:p>
        </w:tc>
      </w:tr>
      <w:tr w:rsidR="00CE0DB9" w:rsidTr="00CE0DB9">
        <w:trPr>
          <w:trHeight w:val="421"/>
        </w:trPr>
        <w:tc>
          <w:tcPr>
            <w:tcW w:w="690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0DB9" w:rsidTr="00CE0DB9">
        <w:trPr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0DB9" w:rsidTr="00CE0DB9">
        <w:trPr>
          <w:trHeight w:val="268"/>
        </w:trPr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Likelihood</w:t>
            </w:r>
          </w:p>
        </w:tc>
      </w:tr>
      <w:tr w:rsidR="00CE0DB9" w:rsidTr="00CE0DB9">
        <w:trPr>
          <w:trHeight w:val="268"/>
        </w:trPr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CE0DB9" w:rsidTr="00CE0DB9">
        <w:trPr>
          <w:trHeight w:val="536"/>
        </w:trPr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Rare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Unlikely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Possible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Likely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Almost certain </w:t>
            </w:r>
          </w:p>
        </w:tc>
      </w:tr>
      <w:tr w:rsidR="00CE0DB9" w:rsidTr="00CE0DB9">
        <w:trPr>
          <w:trHeight w:val="536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Impact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5 Catastrophic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7.1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664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 Major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2.2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6.2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3.2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1.1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4.1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4.2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804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 Moderate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2.1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3.1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1.2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4.3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4.4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6.1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7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 Minor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1.3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4.5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5.1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48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 Negligible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421DAD" w:rsidRDefault="00421DAD" w:rsidP="0073522A">
      <w:pPr>
        <w:jc w:val="both"/>
        <w:rPr>
          <w:rFonts w:ascii="Arial" w:hAnsi="Arial" w:cs="Arial"/>
          <w:b/>
        </w:rPr>
      </w:pPr>
    </w:p>
    <w:tbl>
      <w:tblPr>
        <w:tblW w:w="7238" w:type="dxa"/>
        <w:tblInd w:w="93" w:type="dxa"/>
        <w:tblLook w:val="04A0"/>
      </w:tblPr>
      <w:tblGrid>
        <w:gridCol w:w="934"/>
        <w:gridCol w:w="1498"/>
        <w:gridCol w:w="934"/>
        <w:gridCol w:w="1028"/>
        <w:gridCol w:w="1032"/>
        <w:gridCol w:w="934"/>
        <w:gridCol w:w="934"/>
      </w:tblGrid>
      <w:tr w:rsidR="00CE0DB9" w:rsidTr="00CE0DB9">
        <w:trPr>
          <w:trHeight w:val="271"/>
        </w:trPr>
        <w:tc>
          <w:tcPr>
            <w:tcW w:w="72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Where we want to be                                                                                                                                                                                                                                                                                   Position of BAF risks (using Target risk rating)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E0DB9" w:rsidTr="00CE0DB9">
        <w:trPr>
          <w:trHeight w:val="556"/>
        </w:trPr>
        <w:tc>
          <w:tcPr>
            <w:tcW w:w="72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0DB9" w:rsidTr="00CE0DB9">
        <w:trPr>
          <w:trHeight w:val="271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B9" w:rsidRDefault="00CE0D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0DB9" w:rsidTr="00CE0DB9">
        <w:trPr>
          <w:trHeight w:val="285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4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Likelihood</w:t>
            </w:r>
          </w:p>
        </w:tc>
      </w:tr>
      <w:tr w:rsidR="00CE0DB9" w:rsidTr="00CE0DB9">
        <w:trPr>
          <w:trHeight w:val="285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CE0DB9" w:rsidTr="00CE0DB9">
        <w:trPr>
          <w:trHeight w:val="705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Unlikely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Possible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Likely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Almost certain </w:t>
            </w:r>
          </w:p>
        </w:tc>
      </w:tr>
      <w:tr w:rsidR="00CE0DB9" w:rsidTr="00CE0DB9">
        <w:trPr>
          <w:trHeight w:val="542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Impact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5 Catastrophic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80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 Major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1.1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4.2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1572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 Moderate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2.2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3.2 </w:t>
            </w: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4.4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6.2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4.1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6.1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7.1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1138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 Minor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1.3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2.1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4.5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 5.1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4.3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E0DB9" w:rsidTr="00CE0DB9">
        <w:trPr>
          <w:trHeight w:val="474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B9" w:rsidRDefault="00CE0D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 Negligible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00"/>
            <w:vAlign w:val="center"/>
            <w:hideMark/>
          </w:tcPr>
          <w:p w:rsidR="00CE0DB9" w:rsidRDefault="00CE0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CD4771" w:rsidRDefault="00CD4771" w:rsidP="0073522A">
      <w:pPr>
        <w:jc w:val="both"/>
        <w:rPr>
          <w:rFonts w:ascii="Arial" w:hAnsi="Arial" w:cs="Arial"/>
          <w:b/>
        </w:rPr>
      </w:pPr>
    </w:p>
    <w:p w:rsidR="00CD4771" w:rsidRDefault="00CD4771" w:rsidP="0073522A">
      <w:pPr>
        <w:jc w:val="both"/>
        <w:rPr>
          <w:rFonts w:ascii="Arial" w:hAnsi="Arial" w:cs="Arial"/>
          <w:b/>
        </w:rPr>
      </w:pPr>
    </w:p>
    <w:p w:rsidR="00CD4771" w:rsidRDefault="00CD4771" w:rsidP="0073522A">
      <w:pPr>
        <w:jc w:val="both"/>
        <w:rPr>
          <w:rFonts w:ascii="Arial" w:hAnsi="Arial" w:cs="Arial"/>
          <w:b/>
        </w:rPr>
      </w:pPr>
    </w:p>
    <w:p w:rsidR="00CD4771" w:rsidRDefault="00CD4771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C00BAF" w:rsidRDefault="00FA00E4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consider</w:t>
      </w:r>
      <w:r w:rsidR="00C00BA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C00BAF" w:rsidRDefault="00FA00E4" w:rsidP="00C00BAF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content of the report to assure itself that the Trust is taking action to mitigate those risks that have the greatest potential to cause the Trust to</w:t>
      </w:r>
      <w:r w:rsidR="00C00BAF">
        <w:rPr>
          <w:rFonts w:ascii="Arial" w:hAnsi="Arial" w:cs="Arial"/>
        </w:rPr>
        <w:t xml:space="preserve"> fail to achieve its objectives; </w:t>
      </w:r>
    </w:p>
    <w:p w:rsidR="00C00BAF" w:rsidRDefault="00FA00E4" w:rsidP="00C00BAF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whether the information contained within the report is the appropriate information in order for </w:t>
      </w:r>
      <w:r w:rsidR="00C00BAF">
        <w:rPr>
          <w:rFonts w:ascii="Arial" w:hAnsi="Arial" w:cs="Arial"/>
        </w:rPr>
        <w:t>the Board to be assured of this; and</w:t>
      </w:r>
    </w:p>
    <w:p w:rsidR="0073522A" w:rsidRDefault="00C00BAF" w:rsidP="00C00BAF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overall structure and content of the BAF. </w:t>
      </w:r>
      <w:r w:rsidR="00FA00E4">
        <w:rPr>
          <w:rFonts w:ascii="Arial" w:hAnsi="Arial" w:cs="Arial"/>
        </w:rPr>
        <w:t xml:space="preserve">  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Default="002619EF" w:rsidP="00782B5E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82B5E">
        <w:rPr>
          <w:rFonts w:ascii="Arial" w:hAnsi="Arial" w:cs="Arial"/>
          <w:b/>
        </w:rPr>
        <w:t xml:space="preserve"> </w:t>
      </w:r>
      <w:r w:rsidR="002A763E">
        <w:rPr>
          <w:rFonts w:ascii="Arial" w:hAnsi="Arial" w:cs="Arial"/>
        </w:rPr>
        <w:t>Hannah Smith, Assistant Trust Secretary</w:t>
      </w:r>
      <w:r w:rsidR="0073522A">
        <w:rPr>
          <w:rFonts w:ascii="Arial" w:hAnsi="Arial" w:cs="Arial"/>
        </w:rPr>
        <w:tab/>
      </w: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A763E">
        <w:rPr>
          <w:rFonts w:ascii="Arial" w:hAnsi="Arial" w:cs="Arial"/>
          <w:b/>
        </w:rPr>
        <w:t>Stuart Bell, Chief Executive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AF0562" w:rsidRPr="0073522A" w:rsidRDefault="00AF0562" w:rsidP="00A11F2E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66" w:rsidRPr="005B3E3C" w:rsidRDefault="004B633F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1DF"/>
    <w:multiLevelType w:val="hybridMultilevel"/>
    <w:tmpl w:val="233E5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788D"/>
    <w:multiLevelType w:val="hybridMultilevel"/>
    <w:tmpl w:val="033E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C5B5B"/>
    <w:multiLevelType w:val="hybridMultilevel"/>
    <w:tmpl w:val="0BB46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30E59"/>
    <w:rsid w:val="000C2E5E"/>
    <w:rsid w:val="00103E0A"/>
    <w:rsid w:val="00142A9B"/>
    <w:rsid w:val="00154CEC"/>
    <w:rsid w:val="001A5C5A"/>
    <w:rsid w:val="001D0A6F"/>
    <w:rsid w:val="001F1905"/>
    <w:rsid w:val="001F76ED"/>
    <w:rsid w:val="00227FCE"/>
    <w:rsid w:val="002619EF"/>
    <w:rsid w:val="002821F8"/>
    <w:rsid w:val="00292613"/>
    <w:rsid w:val="002A73E8"/>
    <w:rsid w:val="002A763E"/>
    <w:rsid w:val="002C2F97"/>
    <w:rsid w:val="002D518B"/>
    <w:rsid w:val="002D7C41"/>
    <w:rsid w:val="002E6FC6"/>
    <w:rsid w:val="0033351F"/>
    <w:rsid w:val="00347F98"/>
    <w:rsid w:val="003971F6"/>
    <w:rsid w:val="00397D39"/>
    <w:rsid w:val="003D6208"/>
    <w:rsid w:val="00421DAD"/>
    <w:rsid w:val="004326BB"/>
    <w:rsid w:val="0046254B"/>
    <w:rsid w:val="004A5C2C"/>
    <w:rsid w:val="004B633F"/>
    <w:rsid w:val="004D38E8"/>
    <w:rsid w:val="004E1C7E"/>
    <w:rsid w:val="004F4BBA"/>
    <w:rsid w:val="005233AA"/>
    <w:rsid w:val="00537FC3"/>
    <w:rsid w:val="00551B0F"/>
    <w:rsid w:val="005659FB"/>
    <w:rsid w:val="005B3E3C"/>
    <w:rsid w:val="005C3FC1"/>
    <w:rsid w:val="005D3499"/>
    <w:rsid w:val="005E2583"/>
    <w:rsid w:val="0061684E"/>
    <w:rsid w:val="00643984"/>
    <w:rsid w:val="006C2B8B"/>
    <w:rsid w:val="006C33A8"/>
    <w:rsid w:val="00734BE0"/>
    <w:rsid w:val="0073522A"/>
    <w:rsid w:val="007769CD"/>
    <w:rsid w:val="0078032B"/>
    <w:rsid w:val="00781566"/>
    <w:rsid w:val="00782B5E"/>
    <w:rsid w:val="00784550"/>
    <w:rsid w:val="007976E7"/>
    <w:rsid w:val="007A0E6D"/>
    <w:rsid w:val="00802701"/>
    <w:rsid w:val="008038A2"/>
    <w:rsid w:val="00811FE8"/>
    <w:rsid w:val="00822AA0"/>
    <w:rsid w:val="0086436B"/>
    <w:rsid w:val="00877B44"/>
    <w:rsid w:val="00894B97"/>
    <w:rsid w:val="00946E6E"/>
    <w:rsid w:val="00950FE1"/>
    <w:rsid w:val="009651F3"/>
    <w:rsid w:val="00A03696"/>
    <w:rsid w:val="00A11F2E"/>
    <w:rsid w:val="00A674FB"/>
    <w:rsid w:val="00A74B25"/>
    <w:rsid w:val="00A85311"/>
    <w:rsid w:val="00AA0C3F"/>
    <w:rsid w:val="00AA788E"/>
    <w:rsid w:val="00AC3814"/>
    <w:rsid w:val="00AF0562"/>
    <w:rsid w:val="00B26E1A"/>
    <w:rsid w:val="00B50D5E"/>
    <w:rsid w:val="00B606D5"/>
    <w:rsid w:val="00BA3B3E"/>
    <w:rsid w:val="00BE76E4"/>
    <w:rsid w:val="00BF5367"/>
    <w:rsid w:val="00C00BAF"/>
    <w:rsid w:val="00C07817"/>
    <w:rsid w:val="00C11AA2"/>
    <w:rsid w:val="00C511E5"/>
    <w:rsid w:val="00CB6D6F"/>
    <w:rsid w:val="00CD4771"/>
    <w:rsid w:val="00CE0DB9"/>
    <w:rsid w:val="00D07064"/>
    <w:rsid w:val="00D10ACA"/>
    <w:rsid w:val="00D279FC"/>
    <w:rsid w:val="00D55ADD"/>
    <w:rsid w:val="00D8544F"/>
    <w:rsid w:val="00DA0FA6"/>
    <w:rsid w:val="00DD33DF"/>
    <w:rsid w:val="00DD575E"/>
    <w:rsid w:val="00DE1293"/>
    <w:rsid w:val="00E827C5"/>
    <w:rsid w:val="00EC354F"/>
    <w:rsid w:val="00F1691D"/>
    <w:rsid w:val="00F24EB2"/>
    <w:rsid w:val="00F40F35"/>
    <w:rsid w:val="00F50A07"/>
    <w:rsid w:val="00F57119"/>
    <w:rsid w:val="00FA00E4"/>
    <w:rsid w:val="00FD32C3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1523</Words>
  <Characters>8687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2005-05-11T11:48:00Z</cp:lastPrinted>
  <dcterms:created xsi:type="dcterms:W3CDTF">2014-04-23T09:23:00Z</dcterms:created>
  <dcterms:modified xsi:type="dcterms:W3CDTF">2014-04-23T09:23:00Z</dcterms:modified>
</cp:coreProperties>
</file>